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olors1.xml" ContentType="application/vnd.ms-office.chartcolorstyle+xml"/>
  <Override PartName="/word/charts/colors10.xml" ContentType="application/vnd.ms-office.chartcolorstyle+xml"/>
  <Override PartName="/word/charts/colors11.xml" ContentType="application/vnd.ms-office.chartcolorstyle+xml"/>
  <Override PartName="/word/charts/colors12.xml" ContentType="application/vnd.ms-office.chartcolorstyle+xml"/>
  <Override PartName="/word/charts/colors13.xml" ContentType="application/vnd.ms-office.chartcolorstyle+xml"/>
  <Override PartName="/word/charts/colors14.xml" ContentType="application/vnd.ms-office.chartcolorstyle+xml"/>
  <Override PartName="/word/charts/colors15.xml" ContentType="application/vnd.ms-office.chartcolorstyle+xml"/>
  <Override PartName="/word/charts/colors16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colors4.xml" ContentType="application/vnd.ms-office.chartcolorstyle+xml"/>
  <Override PartName="/word/charts/colors5.xml" ContentType="application/vnd.ms-office.chartcolorstyle+xml"/>
  <Override PartName="/word/charts/colors6.xml" ContentType="application/vnd.ms-office.chartcolorstyle+xml"/>
  <Override PartName="/word/charts/colors7.xml" ContentType="application/vnd.ms-office.chartcolorstyle+xml"/>
  <Override PartName="/word/charts/colors8.xml" ContentType="application/vnd.ms-office.chartcolorstyle+xml"/>
  <Override PartName="/word/charts/colors9.xml" ContentType="application/vnd.ms-office.chartcolorstyle+xml"/>
  <Override PartName="/word/charts/style1.xml" ContentType="application/vnd.ms-office.chartstyle+xml"/>
  <Override PartName="/word/charts/style10.xml" ContentType="application/vnd.ms-office.chartstyle+xml"/>
  <Override PartName="/word/charts/style11.xml" ContentType="application/vnd.ms-office.chartstyle+xml"/>
  <Override PartName="/word/charts/style12.xml" ContentType="application/vnd.ms-office.chartstyle+xml"/>
  <Override PartName="/word/charts/style13.xml" ContentType="application/vnd.ms-office.chartstyle+xml"/>
  <Override PartName="/word/charts/style14.xml" ContentType="application/vnd.ms-office.chartstyle+xml"/>
  <Override PartName="/word/charts/style15.xml" ContentType="application/vnd.ms-office.chartstyle+xml"/>
  <Override PartName="/word/charts/style16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charts/style5.xml" ContentType="application/vnd.ms-office.chartstyle+xml"/>
  <Override PartName="/word/charts/style6.xml" ContentType="application/vnd.ms-office.chartstyle+xml"/>
  <Override PartName="/word/charts/style7.xml" ContentType="application/vnd.ms-office.chartstyle+xml"/>
  <Override PartName="/word/charts/style8.xml" ContentType="application/vnd.ms-office.chartstyle+xml"/>
  <Override PartName="/word/charts/style9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820" w:lineRule="exact"/>
        <w:jc w:val="center"/>
        <w:rPr>
          <w:rFonts w:hint="eastAsia" w:ascii="黑体" w:hAnsi="黑体" w:eastAsia="黑体" w:cs="黑体"/>
          <w:sz w:val="72"/>
          <w:szCs w:val="72"/>
        </w:rPr>
      </w:pPr>
    </w:p>
    <w:p>
      <w:pPr>
        <w:spacing w:line="820" w:lineRule="exact"/>
        <w:jc w:val="center"/>
        <w:rPr>
          <w:rFonts w:ascii="黑体" w:hAnsi="黑体" w:eastAsia="黑体" w:cs="黑体"/>
          <w:sz w:val="72"/>
          <w:szCs w:val="72"/>
        </w:rPr>
      </w:pPr>
    </w:p>
    <w:p>
      <w:pPr>
        <w:spacing w:line="820" w:lineRule="exact"/>
        <w:jc w:val="center"/>
        <w:rPr>
          <w:rFonts w:ascii="黑体" w:hAnsi="黑体" w:eastAsia="黑体" w:cs="黑体"/>
          <w:sz w:val="72"/>
          <w:szCs w:val="72"/>
        </w:rPr>
      </w:pPr>
      <w:r>
        <w:rPr>
          <w:rFonts w:hint="eastAsia" w:ascii="黑体" w:hAnsi="黑体" w:eastAsia="黑体" w:cs="黑体"/>
          <w:sz w:val="72"/>
          <w:szCs w:val="72"/>
        </w:rPr>
        <w:t>农业行业标准</w:t>
      </w:r>
    </w:p>
    <w:p>
      <w:pPr>
        <w:spacing w:line="820" w:lineRule="exact"/>
        <w:jc w:val="center"/>
        <w:rPr>
          <w:rFonts w:ascii="黑体" w:hAnsi="黑体" w:eastAsia="黑体" w:cs="黑体"/>
          <w:sz w:val="52"/>
          <w:szCs w:val="52"/>
        </w:rPr>
      </w:pPr>
      <w:r>
        <w:rPr>
          <w:rFonts w:hint="eastAsia" w:ascii="黑体" w:hAnsi="黑体" w:eastAsia="黑体" w:cs="黑体"/>
          <w:sz w:val="52"/>
          <w:szCs w:val="52"/>
        </w:rPr>
        <w:t>《植物品种特异性、一致性和稳定性测试指南 油棕》</w:t>
      </w:r>
    </w:p>
    <w:p>
      <w:pPr>
        <w:spacing w:line="820" w:lineRule="exact"/>
        <w:jc w:val="center"/>
        <w:rPr>
          <w:rFonts w:eastAsia="黑体"/>
          <w:sz w:val="48"/>
          <w:szCs w:val="48"/>
        </w:rPr>
      </w:pPr>
    </w:p>
    <w:p>
      <w:pPr>
        <w:spacing w:line="820" w:lineRule="exact"/>
        <w:jc w:val="center"/>
        <w:rPr>
          <w:rFonts w:eastAsia="黑体"/>
          <w:sz w:val="48"/>
          <w:szCs w:val="48"/>
        </w:rPr>
      </w:pPr>
      <w:r>
        <w:rPr>
          <w:rFonts w:eastAsia="黑体"/>
          <w:sz w:val="48"/>
          <w:szCs w:val="48"/>
        </w:rPr>
        <w:t>（</w:t>
      </w:r>
      <w:r>
        <w:rPr>
          <w:rFonts w:hint="eastAsia" w:eastAsia="黑体"/>
          <w:sz w:val="48"/>
          <w:szCs w:val="48"/>
        </w:rPr>
        <w:t>征求意见稿</w:t>
      </w:r>
      <w:r>
        <w:rPr>
          <w:rFonts w:eastAsia="黑体"/>
          <w:sz w:val="48"/>
          <w:szCs w:val="48"/>
        </w:rPr>
        <w:t>）</w:t>
      </w:r>
    </w:p>
    <w:p>
      <w:pPr>
        <w:spacing w:line="820" w:lineRule="exact"/>
        <w:jc w:val="center"/>
        <w:rPr>
          <w:rFonts w:eastAsia="黑体"/>
          <w:sz w:val="48"/>
          <w:szCs w:val="48"/>
        </w:rPr>
      </w:pPr>
    </w:p>
    <w:p>
      <w:pPr>
        <w:spacing w:line="820" w:lineRule="exact"/>
        <w:jc w:val="center"/>
        <w:rPr>
          <w:rFonts w:eastAsia="黑体"/>
          <w:sz w:val="48"/>
          <w:szCs w:val="48"/>
        </w:rPr>
      </w:pPr>
    </w:p>
    <w:p>
      <w:pPr>
        <w:spacing w:line="820" w:lineRule="exact"/>
        <w:jc w:val="center"/>
        <w:rPr>
          <w:rFonts w:eastAsia="黑体"/>
          <w:sz w:val="72"/>
          <w:szCs w:val="72"/>
        </w:rPr>
      </w:pPr>
      <w:r>
        <w:rPr>
          <w:rFonts w:eastAsia="黑体"/>
          <w:sz w:val="72"/>
          <w:szCs w:val="72"/>
        </w:rPr>
        <w:t>编</w:t>
      </w:r>
    </w:p>
    <w:p>
      <w:pPr>
        <w:spacing w:line="820" w:lineRule="exact"/>
        <w:jc w:val="center"/>
        <w:rPr>
          <w:rFonts w:eastAsia="黑体"/>
          <w:sz w:val="72"/>
          <w:szCs w:val="72"/>
        </w:rPr>
      </w:pPr>
      <w:r>
        <w:rPr>
          <w:rFonts w:eastAsia="黑体"/>
          <w:sz w:val="72"/>
          <w:szCs w:val="72"/>
        </w:rPr>
        <w:t>制</w:t>
      </w:r>
    </w:p>
    <w:p>
      <w:pPr>
        <w:spacing w:line="820" w:lineRule="exact"/>
        <w:jc w:val="center"/>
        <w:rPr>
          <w:rFonts w:eastAsia="黑体"/>
          <w:sz w:val="72"/>
          <w:szCs w:val="72"/>
        </w:rPr>
      </w:pPr>
      <w:r>
        <w:rPr>
          <w:rFonts w:eastAsia="黑体"/>
          <w:sz w:val="72"/>
          <w:szCs w:val="72"/>
        </w:rPr>
        <w:t>说</w:t>
      </w:r>
    </w:p>
    <w:p>
      <w:pPr>
        <w:spacing w:line="820" w:lineRule="exact"/>
        <w:jc w:val="center"/>
        <w:rPr>
          <w:rFonts w:eastAsia="黑体"/>
          <w:sz w:val="52"/>
          <w:szCs w:val="52"/>
        </w:rPr>
      </w:pPr>
      <w:r>
        <w:rPr>
          <w:rFonts w:eastAsia="黑体"/>
          <w:sz w:val="72"/>
          <w:szCs w:val="72"/>
        </w:rPr>
        <w:t>明</w:t>
      </w:r>
    </w:p>
    <w:p>
      <w:pPr>
        <w:rPr>
          <w:rFonts w:ascii="仿宋" w:hAnsi="仿宋" w:eastAsia="仿宋" w:cs="仿宋"/>
          <w:b/>
          <w:bCs/>
          <w:spacing w:val="29"/>
          <w:sz w:val="32"/>
          <w:szCs w:val="32"/>
        </w:rPr>
      </w:pPr>
    </w:p>
    <w:p>
      <w:pPr>
        <w:rPr>
          <w:rFonts w:ascii="仿宋" w:hAnsi="仿宋" w:eastAsia="仿宋" w:cs="仿宋"/>
          <w:b/>
          <w:bCs/>
          <w:spacing w:val="29"/>
          <w:sz w:val="32"/>
          <w:szCs w:val="32"/>
        </w:rPr>
      </w:pPr>
    </w:p>
    <w:p>
      <w:pPr>
        <w:rPr>
          <w:rFonts w:ascii="仿宋" w:hAnsi="仿宋" w:eastAsia="仿宋" w:cs="仿宋"/>
          <w:b/>
          <w:bCs/>
          <w:spacing w:val="29"/>
          <w:sz w:val="32"/>
          <w:szCs w:val="32"/>
        </w:rPr>
      </w:pPr>
    </w:p>
    <w:p>
      <w:pPr>
        <w:spacing w:line="560" w:lineRule="exact"/>
        <w:jc w:val="center"/>
        <w:rPr>
          <w:rFonts w:ascii="仿宋" w:hAnsi="仿宋" w:eastAsia="仿宋" w:cs="仿宋"/>
          <w:b/>
          <w:bCs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二零二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四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年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月</w:t>
      </w:r>
    </w:p>
    <w:p>
      <w:pPr>
        <w:rPr>
          <w:color w:val="FF000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0" w:after="0" w:line="560" w:lineRule="exact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一、工作简况</w:t>
      </w:r>
    </w:p>
    <w:p>
      <w:pPr>
        <w:pStyle w:val="2"/>
        <w:spacing w:before="0" w:after="0" w:line="560" w:lineRule="exact"/>
        <w:ind w:firstLine="643" w:firstLineChars="20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（一）任务来源</w:t>
      </w:r>
    </w:p>
    <w:p>
      <w:pPr>
        <w:spacing w:line="48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根据农业农村部科技发展中心下达《油棕品种DUS测试指南研制》文件，由中国热带农业科学院椰子研究所（简称“椰子所”）承担《植物品种特异性、一致性和稳定性测试指南  油棕》农业行业标准的制定任务。</w:t>
      </w:r>
      <w:r>
        <w:rPr>
          <w:rFonts w:hint="eastAsia" w:eastAsia="仿宋_GB2312"/>
          <w:color w:val="000000"/>
          <w:sz w:val="28"/>
          <w:szCs w:val="28"/>
        </w:rPr>
        <w:t>本标准由农业农村部热带作物及制品标准化技术委员会归口。</w:t>
      </w:r>
    </w:p>
    <w:p>
      <w:pPr>
        <w:pStyle w:val="2"/>
        <w:spacing w:before="0" w:after="0" w:line="560" w:lineRule="exact"/>
        <w:ind w:firstLine="643" w:firstLineChars="20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（二）协作单位</w:t>
      </w:r>
    </w:p>
    <w:p>
      <w:pPr>
        <w:spacing w:line="48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eastAsia="仿宋_GB2312"/>
          <w:color w:val="000000"/>
          <w:sz w:val="28"/>
          <w:szCs w:val="28"/>
        </w:rPr>
        <w:t>标准编写牵头起草单位为</w:t>
      </w:r>
      <w:r>
        <w:rPr>
          <w:rFonts w:hint="eastAsia" w:ascii="仿宋" w:hAnsi="仿宋" w:eastAsia="仿宋" w:cs="仿宋"/>
          <w:sz w:val="28"/>
          <w:szCs w:val="28"/>
        </w:rPr>
        <w:t>中国热带农业科学院椰子研究所</w:t>
      </w:r>
      <w:r>
        <w:rPr>
          <w:rFonts w:hint="eastAsia" w:eastAsia="仿宋_GB2312"/>
          <w:color w:val="000000"/>
          <w:sz w:val="28"/>
          <w:szCs w:val="28"/>
        </w:rPr>
        <w:t>，起草参加单位为</w:t>
      </w:r>
      <w:r>
        <w:rPr>
          <w:rFonts w:hint="eastAsia" w:ascii="仿宋" w:hAnsi="仿宋" w:eastAsia="仿宋" w:cs="仿宋"/>
          <w:sz w:val="28"/>
          <w:szCs w:val="28"/>
        </w:rPr>
        <w:t>中国热带农业科学院热带作物品种资源研究所[农业部植物新品种测试(儋州)分中心]、农业部科技发展中心。</w:t>
      </w:r>
    </w:p>
    <w:p>
      <w:pPr>
        <w:numPr>
          <w:ilvl w:val="0"/>
          <w:numId w:val="2"/>
        </w:numPr>
        <w:spacing w:line="48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主要工作过程</w:t>
      </w:r>
    </w:p>
    <w:p>
      <w:pPr>
        <w:numPr>
          <w:ilvl w:val="0"/>
          <w:numId w:val="3"/>
        </w:num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前期研究基础</w:t>
      </w: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项目单位自2006年起开展了油棕种质资源收集保存、鉴定评价与创新利用工作，通过对马来西亚、印度尼西亚、尼日利亚、巴布亚新几内亚和哥斯达黎加、海南、广东等国内外的油棕栽培种群和野生资源的广泛调查，收集了101份种质，建立了油棕种质资源圃，确定了油棕种质资源鉴定评价指标，研制了油棕种质资源描述规范和数据质量控制规范，先后制定了农业行业标准《油棕 种苗》、承担了农业部948项目《重要产油植物规模化育苗技术引进与利用》、国家自然科学基金项目《基于蛋白质组差异分析的油棕种子萌发机理研究》、海南省重点项目《油棕高产种质资源的筛选及利用研究》等国家、省部级科研项目20多项，出版了专著《油棕》、《油棕栽培技术》。通过资源鉴定评价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和区域性引种试种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，筛选出大量优异种质，选育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“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热油1号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”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高产耐寒油棕新品种1个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该品种产油量245.92 kg/亩，比已审定品种（208.6 kg/亩）提高17.89%，具有高产特性，并在绝对低温0.2℃、北纬25°08′的云南保山表现较强的适应性。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为我国油棕种植由目前的北纬18度以内扩种到北纬25度提供了品种支持。</w:t>
      </w:r>
    </w:p>
    <w:p>
      <w:pPr>
        <w:numPr>
          <w:ilvl w:val="0"/>
          <w:numId w:val="3"/>
        </w:numPr>
        <w:spacing w:line="480" w:lineRule="exact"/>
        <w:ind w:firstLine="560" w:firstLineChars="200"/>
        <w:rPr>
          <w:rFonts w:eastAsia="仿宋_GB2312"/>
          <w:color w:val="000000"/>
          <w:sz w:val="28"/>
          <w:szCs w:val="28"/>
        </w:rPr>
      </w:pPr>
      <w:r>
        <w:rPr>
          <w:rFonts w:hint="eastAsia" w:eastAsia="仿宋_GB2312"/>
          <w:color w:val="000000"/>
          <w:sz w:val="28"/>
          <w:szCs w:val="28"/>
        </w:rPr>
        <w:t>测试指南的起草</w:t>
      </w:r>
    </w:p>
    <w:p>
      <w:pPr>
        <w:spacing w:line="480" w:lineRule="exact"/>
        <w:ind w:firstLine="560" w:firstLineChars="200"/>
        <w:rPr>
          <w:rFonts w:eastAsia="仿宋_GB2312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从油棕主产区收集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油棕</w:t>
      </w:r>
      <w:r>
        <w:rPr>
          <w:rFonts w:hint="eastAsia" w:ascii="仿宋" w:hAnsi="仿宋" w:eastAsia="仿宋" w:cs="仿宋"/>
          <w:sz w:val="28"/>
          <w:szCs w:val="28"/>
        </w:rPr>
        <w:t>种质资源</w:t>
      </w:r>
      <w:r>
        <w:rPr>
          <w:rFonts w:hint="default" w:ascii="Times New Roman" w:hAnsi="Times New Roman" w:eastAsia="仿宋" w:cs="Times New Roman"/>
          <w:sz w:val="28"/>
          <w:szCs w:val="28"/>
        </w:rPr>
        <w:t>10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份种植于国家热带棕榈种质资源圃油棕分区，收集国内外油棕种质资源、育种及繁育技术研究相关文献，在修改采纳</w:t>
      </w:r>
      <w:r>
        <w:rPr>
          <w:rFonts w:hint="default" w:ascii="Times New Roman" w:hAnsi="Times New Roman" w:eastAsia="仿宋" w:cs="Times New Roman"/>
          <w:sz w:val="28"/>
          <w:szCs w:val="28"/>
        </w:rPr>
        <w:t>2012</w:t>
      </w:r>
      <w:r>
        <w:rPr>
          <w:rFonts w:hint="eastAsia" w:ascii="仿宋" w:hAnsi="仿宋" w:eastAsia="仿宋" w:cs="仿宋"/>
          <w:sz w:val="28"/>
          <w:szCs w:val="28"/>
        </w:rPr>
        <w:t>版马来西亚油棕</w:t>
      </w:r>
      <w:r>
        <w:rPr>
          <w:rFonts w:hint="default" w:ascii="Times New Roman" w:hAnsi="Times New Roman" w:eastAsia="仿宋" w:cs="Times New Roman"/>
          <w:sz w:val="28"/>
          <w:szCs w:val="28"/>
        </w:rPr>
        <w:t>DUS</w:t>
      </w:r>
      <w:r>
        <w:rPr>
          <w:rFonts w:hint="eastAsia" w:ascii="仿宋" w:hAnsi="仿宋" w:eastAsia="仿宋" w:cs="仿宋"/>
          <w:sz w:val="28"/>
          <w:szCs w:val="28"/>
        </w:rPr>
        <w:t>测试指南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的基础上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参考</w:t>
      </w:r>
      <w:r>
        <w:rPr>
          <w:rFonts w:hint="default" w:ascii="Times New Roman" w:hAnsi="Times New Roman" w:eastAsia="仿宋" w:cs="Times New Roman"/>
          <w:sz w:val="28"/>
          <w:szCs w:val="28"/>
        </w:rPr>
        <w:t>UPOV</w:t>
      </w:r>
      <w:r>
        <w:rPr>
          <w:rFonts w:hint="eastAsia" w:ascii="仿宋" w:hAnsi="仿宋" w:eastAsia="仿宋" w:cs="仿宋"/>
          <w:sz w:val="28"/>
          <w:szCs w:val="28"/>
        </w:rPr>
        <w:t>的椰子和橡胶</w:t>
      </w:r>
      <w:r>
        <w:rPr>
          <w:rFonts w:ascii="Times New Roman" w:hAnsi="Times New Roman" w:eastAsia="仿宋" w:cs="Times New Roman"/>
          <w:sz w:val="28"/>
          <w:szCs w:val="28"/>
        </w:rPr>
        <w:t>DUS</w:t>
      </w:r>
      <w:r>
        <w:rPr>
          <w:rFonts w:hint="eastAsia" w:ascii="仿宋" w:hAnsi="仿宋" w:eastAsia="仿宋" w:cs="仿宋"/>
          <w:sz w:val="28"/>
          <w:szCs w:val="28"/>
        </w:rPr>
        <w:t>测试指南，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"https://book.douban.com/search/Corley, R. H. V.  Tinker, P. B."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ascii="Times New Roman" w:hAnsi="Times New Roman" w:eastAsia="仿宋" w:cs="Times New Roman"/>
          <w:sz w:val="28"/>
          <w:szCs w:val="28"/>
        </w:rPr>
        <w:t>Corley R. H. V.</w:t>
      </w:r>
      <w:r>
        <w:rPr>
          <w:rFonts w:hint="eastAsia" w:ascii="仿宋" w:hAnsi="仿宋" w:eastAsia="仿宋" w:cs="仿宋"/>
          <w:sz w:val="28"/>
          <w:szCs w:val="28"/>
        </w:rPr>
        <w:t>和</w:t>
      </w:r>
      <w:r>
        <w:rPr>
          <w:rFonts w:hint="eastAsia" w:ascii="Times New Roman" w:hAnsi="Times New Roman" w:eastAsia="仿宋" w:cs="Times New Roman"/>
          <w:sz w:val="28"/>
          <w:szCs w:val="28"/>
        </w:rPr>
        <w:t>Tinker P. B.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编写的第四版《</w:t>
      </w:r>
      <w:r>
        <w:rPr>
          <w:rFonts w:hint="eastAsia" w:ascii="Times New Roman" w:hAnsi="Times New Roman" w:eastAsia="仿宋" w:cs="Times New Roman"/>
          <w:sz w:val="28"/>
          <w:szCs w:val="28"/>
        </w:rPr>
        <w:t>Oil Palm</w:t>
      </w:r>
      <w:r>
        <w:rPr>
          <w:rFonts w:hint="eastAsia" w:ascii="仿宋" w:hAnsi="仿宋" w:eastAsia="仿宋" w:cs="仿宋"/>
          <w:sz w:val="28"/>
          <w:szCs w:val="28"/>
        </w:rPr>
        <w:t>》的同时，结合油棕主产国的育种水平和生产现状等实际情况，初步选择候选性状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24</w:t>
      </w:r>
      <w:r>
        <w:rPr>
          <w:rFonts w:hint="eastAsia" w:ascii="仿宋" w:hAnsi="仿宋" w:eastAsia="仿宋" w:cs="仿宋"/>
          <w:sz w:val="28"/>
          <w:szCs w:val="28"/>
        </w:rPr>
        <w:t>个进行观测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，其中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19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个基本性状，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个选测性状。基本性状包含如下：</w:t>
      </w:r>
      <w:r>
        <w:rPr>
          <w:rFonts w:hint="eastAsia" w:ascii="仿宋" w:hAnsi="仿宋" w:eastAsia="仿宋" w:cs="仿宋"/>
          <w:sz w:val="28"/>
          <w:szCs w:val="28"/>
          <w:lang w:bidi="ar"/>
        </w:rPr>
        <w:t>植株：株型，茎高度，树干围径；叶：叶柄颜色，叶柄刺密度；</w:t>
      </w:r>
      <w:r>
        <w:rPr>
          <w:rFonts w:hint="eastAsia" w:ascii="仿宋" w:hAnsi="仿宋" w:eastAsia="仿宋" w:cs="仿宋"/>
          <w:sz w:val="28"/>
          <w:szCs w:val="28"/>
          <w:lang w:eastAsia="zh-CN" w:bidi="ar"/>
        </w:rPr>
        <w:t>果穗</w:t>
      </w:r>
      <w:r>
        <w:rPr>
          <w:rFonts w:hint="eastAsia" w:ascii="仿宋" w:hAnsi="仿宋" w:eastAsia="仿宋" w:cs="仿宋"/>
          <w:sz w:val="28"/>
          <w:szCs w:val="28"/>
          <w:lang w:bidi="ar"/>
        </w:rPr>
        <w:t>：柄长度，刺密度</w:t>
      </w:r>
      <w:r>
        <w:rPr>
          <w:rFonts w:hint="eastAsia" w:ascii="仿宋" w:hAnsi="仿宋" w:eastAsia="仿宋" w:cs="仿宋"/>
          <w:sz w:val="28"/>
          <w:szCs w:val="28"/>
          <w:lang w:eastAsia="zh-CN" w:bidi="ar"/>
        </w:rPr>
        <w:t>，</w:t>
      </w:r>
      <w:r>
        <w:rPr>
          <w:rFonts w:hint="eastAsia" w:ascii="仿宋" w:hAnsi="仿宋" w:eastAsia="仿宋" w:cs="仿宋"/>
          <w:sz w:val="28"/>
          <w:szCs w:val="28"/>
          <w:lang w:bidi="ar"/>
        </w:rPr>
        <w:t>重量</w:t>
      </w:r>
      <w:r>
        <w:rPr>
          <w:rFonts w:hint="eastAsia" w:ascii="仿宋" w:hAnsi="仿宋" w:eastAsia="仿宋" w:cs="仿宋"/>
          <w:sz w:val="28"/>
          <w:szCs w:val="28"/>
          <w:lang w:eastAsia="zh-CN" w:bidi="ar"/>
        </w:rPr>
        <w:t>；</w:t>
      </w:r>
      <w:r>
        <w:rPr>
          <w:rFonts w:hint="eastAsia" w:ascii="仿宋" w:hAnsi="仿宋" w:eastAsia="仿宋" w:cs="仿宋"/>
          <w:sz w:val="28"/>
          <w:szCs w:val="28"/>
          <w:lang w:bidi="ar"/>
        </w:rPr>
        <w:t>果实</w:t>
      </w:r>
      <w:r>
        <w:rPr>
          <w:rFonts w:hint="eastAsia" w:ascii="仿宋" w:hAnsi="仿宋" w:eastAsia="仿宋" w:cs="仿宋"/>
          <w:sz w:val="28"/>
          <w:szCs w:val="28"/>
          <w:lang w:eastAsia="zh-CN" w:bidi="ar"/>
        </w:rPr>
        <w:t>：</w:t>
      </w:r>
      <w:r>
        <w:rPr>
          <w:rFonts w:hint="eastAsia" w:ascii="仿宋" w:hAnsi="仿宋" w:eastAsia="仿宋" w:cs="仿宋"/>
          <w:sz w:val="28"/>
          <w:szCs w:val="28"/>
          <w:lang w:bidi="ar"/>
        </w:rPr>
        <w:t>类型，颜色，重量，横径，纵径</w:t>
      </w:r>
      <w:r>
        <w:rPr>
          <w:rFonts w:hint="eastAsia" w:ascii="仿宋" w:hAnsi="仿宋" w:eastAsia="仿宋" w:cs="仿宋"/>
          <w:sz w:val="28"/>
          <w:szCs w:val="28"/>
          <w:lang w:eastAsia="zh-CN" w:bidi="ar"/>
        </w:rPr>
        <w:t>，种仁数量，中果皮颜色；种子：重量，横径，纵径。选测性状包含如下：果穗：出油率；果实：中果皮占果实比例（</w:t>
      </w:r>
      <w:r>
        <w:rPr>
          <w:rFonts w:hint="eastAsia" w:ascii="仿宋" w:hAnsi="仿宋" w:eastAsia="仿宋" w:cs="仿宋"/>
          <w:sz w:val="28"/>
          <w:szCs w:val="28"/>
          <w:lang w:bidi="ar"/>
        </w:rPr>
        <w:t>重量百分比），中果皮含油率，不饱和脂肪酸含量</w:t>
      </w:r>
      <w:r>
        <w:rPr>
          <w:rFonts w:hint="eastAsia" w:ascii="仿宋" w:hAnsi="仿宋" w:eastAsia="仿宋" w:cs="仿宋"/>
          <w:sz w:val="28"/>
          <w:szCs w:val="28"/>
          <w:lang w:eastAsia="zh-CN" w:bidi="ar"/>
        </w:rPr>
        <w:t>；种子：</w:t>
      </w:r>
      <w:r>
        <w:rPr>
          <w:rFonts w:hint="eastAsia" w:ascii="仿宋" w:hAnsi="仿宋" w:eastAsia="仿宋" w:cs="仿宋"/>
          <w:sz w:val="28"/>
          <w:szCs w:val="28"/>
          <w:lang w:bidi="ar"/>
        </w:rPr>
        <w:t>种仁含油率。</w:t>
      </w:r>
      <w:r>
        <w:rPr>
          <w:rFonts w:eastAsia="仿宋_GB2312"/>
          <w:color w:val="000000"/>
          <w:sz w:val="28"/>
          <w:szCs w:val="28"/>
        </w:rPr>
        <w:t>通过在不同时期对以上性状进行观测分析，从而制定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DUS</w:t>
      </w:r>
      <w:r>
        <w:rPr>
          <w:rFonts w:eastAsia="仿宋_GB2312"/>
          <w:color w:val="000000"/>
          <w:sz w:val="28"/>
          <w:szCs w:val="28"/>
        </w:rPr>
        <w:t>测试指南。</w:t>
      </w:r>
    </w:p>
    <w:p>
      <w:pPr>
        <w:spacing w:line="560" w:lineRule="exact"/>
        <w:ind w:firstLine="560" w:firstLineChars="200"/>
        <w:jc w:val="left"/>
        <w:rPr>
          <w:rFonts w:eastAsia="仿宋_GB2312"/>
          <w:color w:val="auto"/>
          <w:sz w:val="28"/>
          <w:szCs w:val="28"/>
        </w:rPr>
      </w:pPr>
      <w:r>
        <w:rPr>
          <w:rFonts w:eastAsia="仿宋_GB2312"/>
          <w:color w:val="auto"/>
          <w:sz w:val="28"/>
          <w:szCs w:val="28"/>
        </w:rPr>
        <w:t>本标准制定任务下达前，在农业农村部科技发展中心的支持和指导下，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201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</w:rPr>
        <w:t>7</w:t>
      </w:r>
      <w:r>
        <w:rPr>
          <w:rFonts w:eastAsia="仿宋_GB2312"/>
          <w:color w:val="auto"/>
          <w:sz w:val="28"/>
          <w:szCs w:val="28"/>
        </w:rPr>
        <w:t>年</w:t>
      </w:r>
      <w:r>
        <w:rPr>
          <w:rFonts w:hint="eastAsia" w:eastAsia="仿宋_GB2312"/>
          <w:color w:val="auto"/>
          <w:sz w:val="28"/>
          <w:szCs w:val="28"/>
        </w:rPr>
        <w:t>项目单位</w:t>
      </w:r>
      <w:r>
        <w:rPr>
          <w:rFonts w:eastAsia="仿宋_GB2312"/>
          <w:color w:val="auto"/>
          <w:sz w:val="28"/>
          <w:szCs w:val="28"/>
        </w:rPr>
        <w:t>成立了《</w:t>
      </w:r>
      <w:r>
        <w:rPr>
          <w:rFonts w:hint="eastAsia" w:eastAsia="仿宋_GB2312"/>
          <w:color w:val="auto"/>
          <w:sz w:val="28"/>
          <w:szCs w:val="28"/>
        </w:rPr>
        <w:t>植物品种特异性、一致性和稳定性测试指南 油棕</w:t>
      </w:r>
      <w:r>
        <w:rPr>
          <w:rFonts w:eastAsia="仿宋_GB2312"/>
          <w:color w:val="auto"/>
          <w:sz w:val="28"/>
          <w:szCs w:val="28"/>
        </w:rPr>
        <w:t>》标准编制小组，将多年的品种选育和审定工作经验进行了整理，</w:t>
      </w:r>
      <w:r>
        <w:rPr>
          <w:rFonts w:hint="eastAsia" w:eastAsia="仿宋_GB2312"/>
          <w:color w:val="auto"/>
          <w:sz w:val="28"/>
          <w:szCs w:val="28"/>
        </w:rPr>
        <w:t>于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202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3</w:t>
      </w:r>
      <w:r>
        <w:rPr>
          <w:rFonts w:hint="eastAsia" w:eastAsia="仿宋_GB2312"/>
          <w:color w:val="auto"/>
          <w:sz w:val="28"/>
          <w:szCs w:val="28"/>
        </w:rPr>
        <w:t>年</w:t>
      </w:r>
      <w:r>
        <w:rPr>
          <w:rFonts w:eastAsia="仿宋_GB2312"/>
          <w:color w:val="auto"/>
          <w:sz w:val="28"/>
          <w:szCs w:val="28"/>
        </w:rPr>
        <w:t>形成了《</w:t>
      </w:r>
      <w:r>
        <w:rPr>
          <w:rFonts w:hint="eastAsia" w:eastAsia="仿宋_GB2312"/>
          <w:color w:val="auto"/>
          <w:sz w:val="28"/>
          <w:szCs w:val="28"/>
        </w:rPr>
        <w:t>植物品种特异性、一致性和稳定性测试指南 油棕</w:t>
      </w:r>
      <w:r>
        <w:rPr>
          <w:rFonts w:eastAsia="仿宋_GB2312"/>
          <w:color w:val="auto"/>
          <w:sz w:val="28"/>
          <w:szCs w:val="28"/>
        </w:rPr>
        <w:t>》</w:t>
      </w:r>
      <w:r>
        <w:rPr>
          <w:rFonts w:hint="eastAsia" w:eastAsia="仿宋_GB2312"/>
          <w:color w:val="auto"/>
          <w:sz w:val="28"/>
          <w:szCs w:val="28"/>
        </w:rPr>
        <w:t>征求意见稿，通过广泛征求意见和专家评审进行不断完善</w:t>
      </w:r>
      <w:r>
        <w:rPr>
          <w:rFonts w:eastAsia="仿宋_GB2312"/>
          <w:color w:val="auto"/>
          <w:sz w:val="28"/>
          <w:szCs w:val="28"/>
        </w:rPr>
        <w:t>。</w:t>
      </w:r>
      <w:r>
        <w:rPr>
          <w:rFonts w:hint="eastAsia" w:eastAsia="仿宋_GB2312"/>
          <w:color w:val="auto"/>
          <w:sz w:val="28"/>
          <w:szCs w:val="28"/>
        </w:rPr>
        <w:t>征求意见稿</w:t>
      </w:r>
      <w:r>
        <w:rPr>
          <w:rFonts w:eastAsia="仿宋_GB2312"/>
          <w:color w:val="auto"/>
          <w:sz w:val="28"/>
          <w:szCs w:val="28"/>
        </w:rPr>
        <w:t>规定了</w:t>
      </w:r>
      <w:r>
        <w:rPr>
          <w:rFonts w:hint="eastAsia" w:eastAsia="仿宋_GB2312"/>
          <w:color w:val="auto"/>
          <w:sz w:val="28"/>
          <w:szCs w:val="28"/>
        </w:rPr>
        <w:t>油棕</w:t>
      </w:r>
      <w:r>
        <w:rPr>
          <w:rFonts w:eastAsia="仿宋_GB2312"/>
          <w:color w:val="auto"/>
          <w:sz w:val="28"/>
          <w:szCs w:val="28"/>
        </w:rPr>
        <w:t>品种特异性、一致性和稳定性测试的技术要求和结果判定的一般原则</w:t>
      </w:r>
      <w:r>
        <w:rPr>
          <w:rFonts w:hint="eastAsia" w:eastAsia="仿宋_GB2312"/>
          <w:color w:val="auto"/>
          <w:sz w:val="28"/>
          <w:szCs w:val="28"/>
        </w:rPr>
        <w:t>，</w:t>
      </w:r>
      <w:r>
        <w:rPr>
          <w:rFonts w:eastAsia="仿宋_GB2312"/>
          <w:color w:val="auto"/>
          <w:sz w:val="28"/>
          <w:szCs w:val="28"/>
        </w:rPr>
        <w:t>成为本标准制定工作最重要的依据之一。</w:t>
      </w:r>
    </w:p>
    <w:p>
      <w:pPr>
        <w:spacing w:line="480" w:lineRule="exact"/>
        <w:ind w:firstLine="562" w:firstLineChars="200"/>
        <w:rPr>
          <w:rFonts w:eastAsia="仿宋_GB2312"/>
          <w:b/>
          <w:color w:val="000000"/>
          <w:sz w:val="28"/>
          <w:szCs w:val="28"/>
        </w:rPr>
      </w:pPr>
      <w:r>
        <w:rPr>
          <w:rFonts w:hint="eastAsia" w:eastAsia="仿宋_GB2312"/>
          <w:b/>
          <w:color w:val="000000"/>
          <w:sz w:val="28"/>
          <w:szCs w:val="28"/>
        </w:rPr>
        <w:t>（四）标准主要起草人及其所做的工作</w:t>
      </w:r>
    </w:p>
    <w:p>
      <w:pPr>
        <w:spacing w:line="480" w:lineRule="exact"/>
        <w:ind w:firstLine="560" w:firstLineChars="200"/>
        <w:rPr>
          <w:rFonts w:hint="eastAsia" w:eastAsia="仿宋_GB2312"/>
          <w:color w:val="000000"/>
          <w:sz w:val="28"/>
          <w:szCs w:val="28"/>
        </w:rPr>
      </w:pPr>
      <w:r>
        <w:rPr>
          <w:rFonts w:hint="eastAsia" w:eastAsia="仿宋_GB2312"/>
          <w:color w:val="000000"/>
          <w:sz w:val="28"/>
          <w:szCs w:val="28"/>
        </w:rPr>
        <w:t>本标准起草人由从事油棕资源、育种及种植研究的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10</w:t>
      </w:r>
      <w:r>
        <w:rPr>
          <w:rFonts w:hint="eastAsia" w:eastAsia="仿宋_GB2312"/>
          <w:color w:val="000000"/>
          <w:sz w:val="28"/>
          <w:szCs w:val="28"/>
        </w:rPr>
        <w:t>人组成，具体组成和任务分工见下表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1</w:t>
      </w:r>
      <w:r>
        <w:rPr>
          <w:rFonts w:hint="eastAsia" w:eastAsia="仿宋_GB2312"/>
          <w:color w:val="000000"/>
          <w:sz w:val="28"/>
          <w:szCs w:val="28"/>
        </w:rPr>
        <w:t>。</w:t>
      </w:r>
    </w:p>
    <w:p>
      <w:pPr>
        <w:spacing w:line="480" w:lineRule="exact"/>
        <w:ind w:firstLine="560" w:firstLineChars="200"/>
        <w:rPr>
          <w:rFonts w:hint="eastAsia" w:eastAsia="仿宋_GB2312"/>
          <w:color w:val="000000"/>
          <w:sz w:val="28"/>
          <w:szCs w:val="28"/>
        </w:rPr>
      </w:pPr>
    </w:p>
    <w:p>
      <w:pPr>
        <w:spacing w:line="480" w:lineRule="exact"/>
        <w:rPr>
          <w:rFonts w:hint="eastAsia" w:eastAsia="仿宋_GB2312"/>
          <w:color w:val="000000"/>
          <w:sz w:val="28"/>
          <w:szCs w:val="28"/>
        </w:rPr>
      </w:pPr>
    </w:p>
    <w:p>
      <w:pPr>
        <w:spacing w:line="480" w:lineRule="exact"/>
        <w:rPr>
          <w:rFonts w:hint="eastAsia" w:eastAsia="仿宋_GB2312"/>
          <w:color w:val="000000"/>
          <w:sz w:val="28"/>
          <w:szCs w:val="28"/>
        </w:rPr>
      </w:pPr>
    </w:p>
    <w:p>
      <w:pPr>
        <w:spacing w:line="480" w:lineRule="exact"/>
        <w:ind w:firstLine="560" w:firstLineChars="200"/>
        <w:rPr>
          <w:rFonts w:hint="eastAsia" w:eastAsia="仿宋_GB2312"/>
          <w:color w:val="000000"/>
          <w:sz w:val="28"/>
          <w:szCs w:val="28"/>
        </w:rPr>
      </w:pPr>
    </w:p>
    <w:p>
      <w:pPr>
        <w:snapToGrid w:val="0"/>
        <w:jc w:val="center"/>
        <w:rPr>
          <w:rFonts w:hint="eastAsia" w:ascii="黑体" w:hAnsi="黑体" w:eastAsia="黑体" w:cs="Times New Roman"/>
        </w:rPr>
      </w:pPr>
      <w:r>
        <w:rPr>
          <w:rFonts w:hint="eastAsia" w:ascii="黑体" w:hAnsi="黑体" w:eastAsia="黑体" w:cs="Times New Roman"/>
        </w:rPr>
        <w:t>表1主要起草人及项目分工</w:t>
      </w:r>
    </w:p>
    <w:tbl>
      <w:tblPr>
        <w:tblStyle w:val="3"/>
        <w:tblW w:w="87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724"/>
        <w:gridCol w:w="2902"/>
        <w:gridCol w:w="1448"/>
        <w:gridCol w:w="25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121" w:type="dxa"/>
            <w:vAlign w:val="center"/>
          </w:tcPr>
          <w:p>
            <w:pPr>
              <w:adjustRightInd w:val="0"/>
              <w:spacing w:line="600" w:lineRule="exact"/>
              <w:jc w:val="center"/>
              <w:textAlignment w:val="baseline"/>
              <w:rPr>
                <w:rFonts w:eastAsia="仿宋_GB2312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_GB2312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724" w:type="dxa"/>
            <w:vAlign w:val="center"/>
          </w:tcPr>
          <w:p>
            <w:pPr>
              <w:adjustRightInd w:val="0"/>
              <w:spacing w:line="600" w:lineRule="exact"/>
              <w:jc w:val="center"/>
              <w:textAlignment w:val="baseline"/>
              <w:rPr>
                <w:rFonts w:eastAsia="仿宋_GB2312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_GB2312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2902" w:type="dxa"/>
            <w:vAlign w:val="center"/>
          </w:tcPr>
          <w:p>
            <w:pPr>
              <w:adjustRightInd w:val="0"/>
              <w:spacing w:line="600" w:lineRule="exact"/>
              <w:jc w:val="center"/>
              <w:textAlignment w:val="baseline"/>
              <w:rPr>
                <w:rFonts w:eastAsia="仿宋_GB2312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_GB2312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工作单位</w:t>
            </w:r>
          </w:p>
        </w:tc>
        <w:tc>
          <w:tcPr>
            <w:tcW w:w="1448" w:type="dxa"/>
            <w:vAlign w:val="center"/>
          </w:tcPr>
          <w:p>
            <w:pPr>
              <w:adjustRightInd w:val="0"/>
              <w:spacing w:line="600" w:lineRule="exact"/>
              <w:jc w:val="center"/>
              <w:textAlignment w:val="baseline"/>
              <w:rPr>
                <w:rFonts w:eastAsia="仿宋_GB2312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_GB2312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职务/职称</w:t>
            </w:r>
          </w:p>
        </w:tc>
        <w:tc>
          <w:tcPr>
            <w:tcW w:w="2525" w:type="dxa"/>
            <w:vAlign w:val="center"/>
          </w:tcPr>
          <w:p>
            <w:pPr>
              <w:adjustRightInd w:val="0"/>
              <w:spacing w:line="600" w:lineRule="exact"/>
              <w:jc w:val="center"/>
              <w:textAlignment w:val="baseline"/>
              <w:rPr>
                <w:rFonts w:eastAsia="仿宋_GB2312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_GB2312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项目分工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121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曹红星</w:t>
            </w:r>
          </w:p>
        </w:tc>
        <w:tc>
          <w:tcPr>
            <w:tcW w:w="724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2902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中国热带农业科学院椰子研究所</w:t>
            </w:r>
          </w:p>
        </w:tc>
        <w:tc>
          <w:tcPr>
            <w:tcW w:w="1448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研究员</w:t>
            </w:r>
          </w:p>
        </w:tc>
        <w:tc>
          <w:tcPr>
            <w:tcW w:w="2525" w:type="dxa"/>
            <w:vAlign w:val="center"/>
          </w:tcPr>
          <w:p>
            <w:pPr>
              <w:snapToGrid w:val="0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项目负责人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121" w:type="dxa"/>
            <w:vAlign w:val="center"/>
          </w:tcPr>
          <w:p>
            <w:pPr>
              <w:spacing w:line="280" w:lineRule="exact"/>
              <w:jc w:val="center"/>
              <w:rPr>
                <w:rFonts w:hint="eastAsia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刘小玉</w:t>
            </w:r>
          </w:p>
        </w:tc>
        <w:tc>
          <w:tcPr>
            <w:tcW w:w="724" w:type="dxa"/>
            <w:vAlign w:val="center"/>
          </w:tcPr>
          <w:p>
            <w:pPr>
              <w:spacing w:line="280" w:lineRule="exact"/>
              <w:jc w:val="center"/>
              <w:rPr>
                <w:rFonts w:hint="eastAsia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2902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中国热带农业科学院椰子研究所</w:t>
            </w:r>
          </w:p>
        </w:tc>
        <w:tc>
          <w:tcPr>
            <w:tcW w:w="1448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助理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研究员</w:t>
            </w:r>
          </w:p>
        </w:tc>
        <w:tc>
          <w:tcPr>
            <w:tcW w:w="2525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指南编写和材料汇总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7" w:hRule="atLeast"/>
          <w:jc w:val="center"/>
        </w:trPr>
        <w:tc>
          <w:tcPr>
            <w:tcW w:w="1121" w:type="dxa"/>
            <w:tcBorders>
              <w:top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李欣瑜</w:t>
            </w:r>
          </w:p>
        </w:tc>
        <w:tc>
          <w:tcPr>
            <w:tcW w:w="724" w:type="dxa"/>
            <w:vAlign w:val="center"/>
          </w:tcPr>
          <w:p>
            <w:pPr>
              <w:spacing w:line="280" w:lineRule="exact"/>
              <w:jc w:val="center"/>
              <w:rPr>
                <w:rFonts w:hint="eastAsia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2902" w:type="dxa"/>
            <w:vAlign w:val="center"/>
          </w:tcPr>
          <w:p>
            <w:pPr>
              <w:spacing w:line="280" w:lineRule="exact"/>
              <w:jc w:val="center"/>
              <w:rPr>
                <w:rFonts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中国热带农业科学院椰子研究所</w:t>
            </w:r>
          </w:p>
        </w:tc>
        <w:tc>
          <w:tcPr>
            <w:tcW w:w="1448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研究实习员</w:t>
            </w:r>
          </w:p>
        </w:tc>
        <w:tc>
          <w:tcPr>
            <w:tcW w:w="2525" w:type="dxa"/>
            <w:vAlign w:val="center"/>
          </w:tcPr>
          <w:p>
            <w:pPr>
              <w:spacing w:line="40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调查研究、验证试验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7" w:hRule="atLeast"/>
          <w:jc w:val="center"/>
        </w:trPr>
        <w:tc>
          <w:tcPr>
            <w:tcW w:w="1121" w:type="dxa"/>
            <w:tcBorders>
              <w:top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石鹏</w:t>
            </w:r>
          </w:p>
        </w:tc>
        <w:tc>
          <w:tcPr>
            <w:tcW w:w="724" w:type="dxa"/>
            <w:vAlign w:val="center"/>
          </w:tcPr>
          <w:p>
            <w:pPr>
              <w:spacing w:line="280" w:lineRule="exact"/>
              <w:jc w:val="center"/>
              <w:rPr>
                <w:rFonts w:hint="eastAsia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2902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中国热带农业科学院椰子研究所</w:t>
            </w:r>
          </w:p>
        </w:tc>
        <w:tc>
          <w:tcPr>
            <w:tcW w:w="1448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副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研究员</w:t>
            </w:r>
          </w:p>
        </w:tc>
        <w:tc>
          <w:tcPr>
            <w:tcW w:w="2525" w:type="dxa"/>
            <w:vAlign w:val="center"/>
          </w:tcPr>
          <w:p>
            <w:pPr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调查研究、验证试验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6" w:hRule="atLeast"/>
          <w:jc w:val="center"/>
        </w:trPr>
        <w:tc>
          <w:tcPr>
            <w:tcW w:w="1121" w:type="dxa"/>
            <w:tcBorders>
              <w:top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李启黉</w:t>
            </w:r>
          </w:p>
        </w:tc>
        <w:tc>
          <w:tcPr>
            <w:tcW w:w="724" w:type="dxa"/>
            <w:vAlign w:val="center"/>
          </w:tcPr>
          <w:p>
            <w:pPr>
              <w:spacing w:line="280" w:lineRule="exact"/>
              <w:jc w:val="center"/>
              <w:rPr>
                <w:rFonts w:hint="eastAsia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2902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中国热带农业科学院椰子研究所</w:t>
            </w:r>
          </w:p>
        </w:tc>
        <w:tc>
          <w:tcPr>
            <w:tcW w:w="1448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助理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研究员</w:t>
            </w:r>
          </w:p>
        </w:tc>
        <w:tc>
          <w:tcPr>
            <w:tcW w:w="2525" w:type="dxa"/>
            <w:vAlign w:val="center"/>
          </w:tcPr>
          <w:p>
            <w:pPr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调查研究、验证试验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4" w:hRule="atLeast"/>
          <w:jc w:val="center"/>
        </w:trPr>
        <w:tc>
          <w:tcPr>
            <w:tcW w:w="1121" w:type="dxa"/>
            <w:tcBorders>
              <w:top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徐丽</w:t>
            </w:r>
          </w:p>
        </w:tc>
        <w:tc>
          <w:tcPr>
            <w:tcW w:w="724" w:type="dxa"/>
            <w:vAlign w:val="center"/>
          </w:tcPr>
          <w:p>
            <w:pPr>
              <w:spacing w:line="280" w:lineRule="exact"/>
              <w:jc w:val="center"/>
              <w:rPr>
                <w:rFonts w:hint="eastAsia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2902" w:type="dxa"/>
            <w:vAlign w:val="center"/>
          </w:tcPr>
          <w:p>
            <w:pPr>
              <w:pStyle w:val="2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150" w:line="255" w:lineRule="atLeas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中国热带农业科学院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热带作物品种资源研究所</w:t>
            </w:r>
          </w:p>
        </w:tc>
        <w:tc>
          <w:tcPr>
            <w:tcW w:w="1448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副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研究员</w:t>
            </w:r>
          </w:p>
        </w:tc>
        <w:tc>
          <w:tcPr>
            <w:tcW w:w="2525" w:type="dxa"/>
            <w:vAlign w:val="center"/>
          </w:tcPr>
          <w:p>
            <w:pPr>
              <w:jc w:val="center"/>
              <w:rPr>
                <w:rFonts w:hint="eastAsia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技术指导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6" w:hRule="atLeast"/>
          <w:jc w:val="center"/>
        </w:trPr>
        <w:tc>
          <w:tcPr>
            <w:tcW w:w="1121" w:type="dxa"/>
            <w:tcBorders>
              <w:top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冯美利</w:t>
            </w:r>
          </w:p>
        </w:tc>
        <w:tc>
          <w:tcPr>
            <w:tcW w:w="724" w:type="dxa"/>
            <w:vAlign w:val="center"/>
          </w:tcPr>
          <w:p>
            <w:pPr>
              <w:spacing w:line="280" w:lineRule="exact"/>
              <w:jc w:val="center"/>
              <w:rPr>
                <w:rFonts w:hint="eastAsia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2902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中国热带农业科学院椰子研究所</w:t>
            </w:r>
          </w:p>
        </w:tc>
        <w:tc>
          <w:tcPr>
            <w:tcW w:w="1448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副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研究员</w:t>
            </w:r>
          </w:p>
        </w:tc>
        <w:tc>
          <w:tcPr>
            <w:tcW w:w="2525" w:type="dxa"/>
            <w:vAlign w:val="center"/>
          </w:tcPr>
          <w:p>
            <w:pPr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调查研究、验证试验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6" w:hRule="atLeast"/>
          <w:jc w:val="center"/>
        </w:trPr>
        <w:tc>
          <w:tcPr>
            <w:tcW w:w="1121" w:type="dxa"/>
            <w:tcBorders>
              <w:top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李睿</w:t>
            </w:r>
          </w:p>
        </w:tc>
        <w:tc>
          <w:tcPr>
            <w:tcW w:w="724" w:type="dxa"/>
            <w:vAlign w:val="center"/>
          </w:tcPr>
          <w:p>
            <w:pPr>
              <w:spacing w:line="280" w:lineRule="exact"/>
              <w:jc w:val="center"/>
              <w:rPr>
                <w:rFonts w:hint="eastAsia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2902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中国热带农业科学院椰子研究所</w:t>
            </w:r>
          </w:p>
        </w:tc>
        <w:tc>
          <w:tcPr>
            <w:tcW w:w="1448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助理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研究员</w:t>
            </w:r>
          </w:p>
        </w:tc>
        <w:tc>
          <w:tcPr>
            <w:tcW w:w="2525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调查研究、验证试验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  <w:jc w:val="center"/>
        </w:trPr>
        <w:tc>
          <w:tcPr>
            <w:tcW w:w="1121" w:type="dxa"/>
            <w:vAlign w:val="center"/>
          </w:tcPr>
          <w:p>
            <w:pPr>
              <w:spacing w:line="280" w:lineRule="exact"/>
              <w:jc w:val="center"/>
              <w:rPr>
                <w:rFonts w:hint="eastAsia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周丽霞</w:t>
            </w:r>
          </w:p>
        </w:tc>
        <w:tc>
          <w:tcPr>
            <w:tcW w:w="724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2902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中国热带农业科学院椰子研究所</w:t>
            </w:r>
          </w:p>
        </w:tc>
        <w:tc>
          <w:tcPr>
            <w:tcW w:w="1448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副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研究员</w:t>
            </w:r>
          </w:p>
        </w:tc>
        <w:tc>
          <w:tcPr>
            <w:tcW w:w="2525" w:type="dxa"/>
            <w:vAlign w:val="center"/>
          </w:tcPr>
          <w:p>
            <w:pPr>
              <w:spacing w:line="280" w:lineRule="exact"/>
              <w:jc w:val="center"/>
              <w:rPr>
                <w:rFonts w:hint="eastAsia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调查研究、验证试验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  <w:jc w:val="center"/>
        </w:trPr>
        <w:tc>
          <w:tcPr>
            <w:tcW w:w="1121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付登强</w:t>
            </w:r>
          </w:p>
        </w:tc>
        <w:tc>
          <w:tcPr>
            <w:tcW w:w="724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2902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中国热带农业科学院椰子研究所</w:t>
            </w:r>
          </w:p>
        </w:tc>
        <w:tc>
          <w:tcPr>
            <w:tcW w:w="1448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副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研究员</w:t>
            </w:r>
          </w:p>
        </w:tc>
        <w:tc>
          <w:tcPr>
            <w:tcW w:w="2525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调查研究、验证试验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9" w:hRule="atLeast"/>
          <w:jc w:val="center"/>
        </w:trPr>
        <w:tc>
          <w:tcPr>
            <w:tcW w:w="1121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刘迪发</w:t>
            </w:r>
          </w:p>
        </w:tc>
        <w:tc>
          <w:tcPr>
            <w:tcW w:w="724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2902" w:type="dxa"/>
            <w:vAlign w:val="center"/>
          </w:tcPr>
          <w:p>
            <w:pPr>
              <w:pStyle w:val="2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150" w:line="255" w:lineRule="atLeas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中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国热带农业科学院热带作物品种资源研究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所</w:t>
            </w:r>
          </w:p>
        </w:tc>
        <w:tc>
          <w:tcPr>
            <w:tcW w:w="1448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副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研究员</w:t>
            </w:r>
          </w:p>
        </w:tc>
        <w:tc>
          <w:tcPr>
            <w:tcW w:w="2525" w:type="dxa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技术指导</w:t>
            </w:r>
          </w:p>
        </w:tc>
      </w:tr>
    </w:tbl>
    <w:p>
      <w:pPr>
        <w:spacing w:line="560" w:lineRule="exact"/>
        <w:rPr>
          <w:rFonts w:eastAsia="仿宋"/>
          <w:b/>
          <w:bCs/>
          <w:sz w:val="32"/>
          <w:szCs w:val="32"/>
        </w:rPr>
      </w:pPr>
      <w:r>
        <w:rPr>
          <w:rFonts w:hint="eastAsia" w:eastAsia="仿宋"/>
          <w:b/>
          <w:bCs/>
          <w:sz w:val="32"/>
          <w:szCs w:val="32"/>
        </w:rPr>
        <w:t>二、标准编制原则和确定标准主要内容的论据</w:t>
      </w:r>
    </w:p>
    <w:p>
      <w:pPr>
        <w:spacing w:line="560" w:lineRule="exact"/>
        <w:ind w:firstLine="555"/>
        <w:rPr>
          <w:rFonts w:eastAsia="仿宋"/>
          <w:b/>
          <w:bCs/>
          <w:sz w:val="32"/>
          <w:szCs w:val="32"/>
        </w:rPr>
      </w:pPr>
      <w:r>
        <w:rPr>
          <w:rFonts w:hint="eastAsia" w:eastAsia="仿宋"/>
          <w:b/>
          <w:bCs/>
          <w:sz w:val="32"/>
          <w:szCs w:val="32"/>
        </w:rPr>
        <w:t>（一）标准编制原则</w:t>
      </w:r>
    </w:p>
    <w:p>
      <w:pPr>
        <w:spacing w:line="480" w:lineRule="exact"/>
        <w:ind w:firstLine="562" w:firstLineChars="200"/>
        <w:rPr>
          <w:rFonts w:hint="default" w:ascii="Times New Roman" w:hAnsi="Times New Roman" w:eastAsia="仿宋_GB2312" w:cs="Times New Roman"/>
          <w:b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color w:val="000000"/>
          <w:sz w:val="28"/>
          <w:szCs w:val="28"/>
        </w:rPr>
        <w:t>1、总体原则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本指南依据GB/T19557.1-2004《植物新品种特异性、致性和稳定性测试指南总则》的相关原则，按照GB/T 1.1-2020《标准化工作导则 第1部分：标准化文件的结构和起草规则》给出的规则，并根据UPOV 制定的《植物新品种测试指南的研制》文件（TGP/7/1）规定的程序和相关原则进行起草和研制。</w:t>
      </w:r>
    </w:p>
    <w:p>
      <w:pPr>
        <w:spacing w:line="480" w:lineRule="exact"/>
        <w:ind w:firstLine="562" w:firstLineChars="200"/>
        <w:rPr>
          <w:rFonts w:hint="default" w:ascii="Times New Roman" w:hAnsi="Times New Roman" w:eastAsia="仿宋_GB2312" w:cs="Times New Roman"/>
          <w:b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color w:val="000000"/>
          <w:sz w:val="28"/>
          <w:szCs w:val="28"/>
        </w:rPr>
        <w:t>2、科学实用的原则</w:t>
      </w:r>
    </w:p>
    <w:p>
      <w:pPr>
        <w:spacing w:line="480" w:lineRule="exact"/>
        <w:ind w:firstLine="560" w:firstLineChars="200"/>
        <w:rPr>
          <w:rFonts w:eastAsia="仿宋_GB2312"/>
          <w:color w:val="000000"/>
          <w:sz w:val="28"/>
          <w:szCs w:val="28"/>
        </w:rPr>
      </w:pPr>
      <w:r>
        <w:rPr>
          <w:rFonts w:hint="eastAsia" w:eastAsia="仿宋_GB2312"/>
          <w:color w:val="000000"/>
          <w:sz w:val="28"/>
          <w:szCs w:val="28"/>
        </w:rPr>
        <w:t>按照《植物新品种特异性、一致性、稳定性测试总论》中测试性状选择的依据和特点，结合油棕生产和育种需求，调整和补充本指南的基本性状。在符合性状选择原则的前提下，优先选用植物的表型性状，直观且节约成本。明确测试性状的观测时期和方法，便于记载和数据交流。测试性状以植物生长进程为序且相对集中，方便实际操作性；指南中部分性状的表达状态给出了标准品种，用于性状的状态描述和不同年份和不同生态区的校正。标准品种尽量采用国内公知公用、性状表达稳定且易于获得或繁殖提纯的品种。</w:t>
      </w:r>
    </w:p>
    <w:p>
      <w:pPr>
        <w:spacing w:line="480" w:lineRule="exact"/>
        <w:ind w:firstLine="562" w:firstLineChars="200"/>
        <w:rPr>
          <w:rFonts w:hint="default" w:ascii="Times New Roman" w:hAnsi="Times New Roman" w:eastAsia="仿宋_GB2312" w:cs="Times New Roman"/>
          <w:b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color w:val="000000"/>
          <w:sz w:val="28"/>
          <w:szCs w:val="28"/>
        </w:rPr>
        <w:t>3、结构规范的原则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依据 TGP/7中指南模板的总体框架，结合中国的标准编写要求起草。</w:t>
      </w:r>
    </w:p>
    <w:p>
      <w:pPr>
        <w:spacing w:line="560" w:lineRule="exact"/>
        <w:ind w:firstLine="643" w:firstLineChars="200"/>
        <w:rPr>
          <w:rFonts w:hint="default" w:ascii="Times New Roman" w:hAnsi="Times New Roman" w:eastAsia="仿宋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仿宋" w:cs="Times New Roman"/>
          <w:b/>
          <w:bCs/>
          <w:sz w:val="32"/>
          <w:szCs w:val="32"/>
        </w:rPr>
        <w:t>（二）确定标准主要内容的论据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本测试指南规定了《植物品种特异性、一致性和稳定性测试指南  油棕》规范，主要包括主要技术要点包括范围、规范性引用文件、术语和定义、符号、繁殖材料的要求、测试方法、特异性、一致性和稳定性结果的判定、性状表、技术问卷等技术要点。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1、供试材料</w:t>
      </w:r>
    </w:p>
    <w:p>
      <w:pPr>
        <w:spacing w:line="560" w:lineRule="exact"/>
        <w:ind w:firstLine="560" w:firstLineChars="200"/>
        <w:jc w:val="left"/>
        <w:rPr>
          <w:rFonts w:hint="default" w:ascii="Times New Roman" w:hAnsi="Times New Roman" w:eastAsia="仿宋" w:cs="Times New Roman"/>
          <w:sz w:val="28"/>
          <w:szCs w:val="28"/>
          <w:lang w:bidi="ar"/>
        </w:rPr>
      </w:pP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供试材料为中国热带农业科学院椰子研究所油棕科研试验基地、云南保山油棕种植基地、广西东兴油棕种植基地的58份资源和品种，2019-202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 w:bidi="ar"/>
        </w:rPr>
        <w:t>3</w:t>
      </w: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年连续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 w:bidi="ar"/>
        </w:rPr>
        <w:t>5</w:t>
      </w: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年进行资源和品种调查、测量、取样和测定等，对编制所涉及的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 w:bidi="ar"/>
        </w:rPr>
        <w:t>24</w:t>
      </w: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个性状进行详细的记载，为标准起草提供可靠的技术参考材料。</w:t>
      </w:r>
    </w:p>
    <w:p>
      <w:pPr>
        <w:ind w:firstLine="600" w:firstLineChars="200"/>
        <w:rPr>
          <w:rFonts w:hint="default" w:ascii="Times New Roman" w:hAnsi="Times New Roman" w:eastAsia="仿宋" w:cs="Times New Roman"/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napToGrid w:val="0"/>
        <w:jc w:val="center"/>
        <w:rPr>
          <w:rFonts w:hint="default" w:ascii="Times New Roman" w:hAnsi="Times New Roman" w:eastAsia="黑体" w:cs="Times New Roman"/>
        </w:rPr>
      </w:pPr>
      <w:r>
        <w:rPr>
          <w:rFonts w:hint="default" w:ascii="Times New Roman" w:hAnsi="Times New Roman" w:eastAsia="黑体" w:cs="Times New Roman"/>
        </w:rPr>
        <w:t>表 2供试材料表</w:t>
      </w:r>
    </w:p>
    <w:p>
      <w:pPr>
        <w:snapToGrid w:val="0"/>
        <w:jc w:val="center"/>
        <w:rPr>
          <w:rFonts w:hint="default" w:ascii="Times New Roman" w:hAnsi="Times New Roman" w:eastAsia="黑体" w:cs="Times New Roman"/>
        </w:rPr>
      </w:pPr>
    </w:p>
    <w:tbl>
      <w:tblPr>
        <w:tblStyle w:val="4"/>
        <w:tblpPr w:leftFromText="180" w:rightFromText="180" w:vertAnchor="text" w:horzAnchor="page" w:tblpX="2355" w:tblpY="108"/>
        <w:tblOverlap w:val="never"/>
        <w:tblW w:w="77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7"/>
        <w:gridCol w:w="1643"/>
        <w:gridCol w:w="1335"/>
        <w:gridCol w:w="772"/>
        <w:gridCol w:w="1980"/>
        <w:gridCol w:w="1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6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  <w:lang w:bidi="ar"/>
              </w:rPr>
              <w:t>材料名称</w:t>
            </w:r>
          </w:p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来源国</w:t>
            </w: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bidi="ar"/>
              </w:rPr>
              <w:t>材料名称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 w:bidi="ar"/>
              </w:rPr>
              <w:t>来源国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1</w:t>
            </w:r>
          </w:p>
        </w:tc>
        <w:tc>
          <w:tcPr>
            <w:tcW w:w="1643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O×G Amazon</w:t>
            </w:r>
          </w:p>
        </w:tc>
        <w:tc>
          <w:tcPr>
            <w:tcW w:w="1335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哥斯达黎加</w:t>
            </w:r>
          </w:p>
        </w:tc>
        <w:tc>
          <w:tcPr>
            <w:tcW w:w="772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30</w:t>
            </w:r>
          </w:p>
        </w:tc>
        <w:tc>
          <w:tcPr>
            <w:tcW w:w="1980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Deli×Nigeria</w:t>
            </w:r>
          </w:p>
        </w:tc>
        <w:tc>
          <w:tcPr>
            <w:tcW w:w="1380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尼日利亚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2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Compact×Nigeria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哥斯达黎加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31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Evolution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坦桑尼亚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3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Deli×Nigeria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哥斯达黎加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32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Deli×La Mé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坦桑尼亚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4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Deli×Ghana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哥斯达黎加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33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Yangambi AVROS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尼日利亚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5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Bamenda×Ekona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哥斯达黎加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34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Kigoma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尼日利亚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6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Tanzania×Ekona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哥斯达黎加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35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PS1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马来西亚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7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Deli Dura×AVROS Pisifera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马来西亚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36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PS3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马来西亚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8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Banting Dura×Ulu Remis Pisifera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马来西亚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37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PS4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马来西亚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9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Dura×Pisifera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尼日利亚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38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Themba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哥斯达黎加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10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热油4号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马来西亚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39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 xml:space="preserve">Deli </w:t>
            </w: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bidi="ar"/>
              </w:rPr>
              <w:t xml:space="preserve">× </w:t>
            </w: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Aba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尼日利亚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11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热油6号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马来西亚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40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Cross group131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加纳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12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Yangambi 3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刚果（金）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41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GB"/>
              </w:rPr>
              <w:t>OG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哥斯达黎加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13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Yangambi 9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刚果（金）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42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GB"/>
              </w:rPr>
              <w:t>BD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泰国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14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DM735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坦桑尼亚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43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GB"/>
              </w:rPr>
              <w:t>BE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泰国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15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BM385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泰国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44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YGH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印度尼西亚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16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BM387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泰国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45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GH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印度尼西亚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17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大叶Dura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喀麦隆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46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HRU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马来西亚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18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小叶Dura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喀麦隆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47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OPKT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科特迪瓦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19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Deli Dura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喀麦隆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48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OPBD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20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绿果Dura型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喀麦隆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49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OPID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印度尼西亚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21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Dura杂交型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喀麦隆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50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OPHN-1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海南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22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Dura杂交型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喀麦隆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51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OPHN-2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海南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23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Pisifera变种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加纳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52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OPHN-3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海南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24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Tenera变种6-17号组合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马来西亚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53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OPHN-4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海南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25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Tenera变种6-19号组合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马来西亚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54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OPHN-5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海南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26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Bamenda×AVROS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乌干达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56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OPYN-1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云南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27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DD×DyAVROS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坦桑尼亚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57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OPYN-2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云南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28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DD×Yangambi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刚果（金）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58</w:t>
            </w: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OPGD-1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广东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  <w:jc w:val="center"/>
        </w:trPr>
        <w:tc>
          <w:tcPr>
            <w:tcW w:w="6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29</w:t>
            </w:r>
          </w:p>
        </w:tc>
        <w:tc>
          <w:tcPr>
            <w:tcW w:w="1643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Deli×Ghana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  <w:lang w:val="en-US" w:eastAsia="zh-CN"/>
              </w:rPr>
              <w:t>加纳</w:t>
            </w:r>
          </w:p>
        </w:tc>
        <w:tc>
          <w:tcPr>
            <w:tcW w:w="772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</w:p>
        </w:tc>
        <w:tc>
          <w:tcPr>
            <w:tcW w:w="19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</w:p>
        </w:tc>
        <w:tc>
          <w:tcPr>
            <w:tcW w:w="138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</w:p>
        </w:tc>
      </w:tr>
    </w:tbl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numPr>
          <w:ilvl w:val="0"/>
          <w:numId w:val="4"/>
        </w:numPr>
        <w:spacing w:line="480" w:lineRule="exact"/>
        <w:ind w:firstLine="56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性状观察</w:t>
      </w:r>
    </w:p>
    <w:p>
      <w:pPr>
        <w:spacing w:line="480" w:lineRule="exact"/>
        <w:ind w:firstLine="1120" w:firstLineChars="4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初步选取了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24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个性状进行观测。</w:t>
      </w:r>
    </w:p>
    <w:p>
      <w:pPr>
        <w:ind w:firstLine="3150" w:firstLineChars="1500"/>
        <w:rPr>
          <w:rFonts w:hint="default" w:ascii="Times New Roman" w:hAnsi="Times New Roman" w:eastAsia="黑体" w:cs="Times New Roman"/>
          <w:lang w:val="en-US" w:eastAsia="zh-CN"/>
        </w:rPr>
      </w:pPr>
      <w:r>
        <w:rPr>
          <w:rFonts w:hint="default" w:ascii="Times New Roman" w:hAnsi="Times New Roman" w:eastAsia="黑体" w:cs="Times New Roman"/>
          <w:lang w:val="en-US" w:eastAsia="zh-CN"/>
        </w:rPr>
        <w:t xml:space="preserve">表3  </w:t>
      </w:r>
      <w:r>
        <w:rPr>
          <w:rFonts w:hint="default" w:ascii="Times New Roman" w:hAnsi="Times New Roman" w:eastAsia="黑体" w:cs="Times New Roman"/>
        </w:rPr>
        <w:t>候选</w:t>
      </w:r>
      <w:r>
        <w:rPr>
          <w:rFonts w:hint="default" w:ascii="Times New Roman" w:hAnsi="Times New Roman" w:eastAsia="黑体" w:cs="Times New Roman"/>
          <w:lang w:val="en-US" w:eastAsia="zh-CN"/>
        </w:rPr>
        <w:t xml:space="preserve">性状表 </w:t>
      </w:r>
    </w:p>
    <w:tbl>
      <w:tblPr>
        <w:tblStyle w:val="4"/>
        <w:tblpPr w:leftFromText="180" w:rightFromText="180" w:vertAnchor="text" w:horzAnchor="page" w:tblpX="2534" w:tblpY="60"/>
        <w:tblOverlap w:val="never"/>
        <w:tblW w:w="72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7"/>
        <w:gridCol w:w="2307"/>
        <w:gridCol w:w="942"/>
        <w:gridCol w:w="2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111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性状代号</w:t>
            </w:r>
          </w:p>
        </w:tc>
        <w:tc>
          <w:tcPr>
            <w:tcW w:w="230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性   状   名</w:t>
            </w:r>
          </w:p>
        </w:tc>
        <w:tc>
          <w:tcPr>
            <w:tcW w:w="942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性状代号</w:t>
            </w:r>
          </w:p>
        </w:tc>
        <w:tc>
          <w:tcPr>
            <w:tcW w:w="289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性   状   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117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Chr1</w:t>
            </w:r>
          </w:p>
        </w:tc>
        <w:tc>
          <w:tcPr>
            <w:tcW w:w="23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植株：株型</w:t>
            </w:r>
          </w:p>
        </w:tc>
        <w:tc>
          <w:tcPr>
            <w:tcW w:w="94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Chr13</w:t>
            </w:r>
          </w:p>
        </w:tc>
        <w:tc>
          <w:tcPr>
            <w:tcW w:w="2896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果实</w:t>
            </w:r>
            <w:r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  <w:t>：</w:t>
            </w: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横径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117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Chr2</w:t>
            </w:r>
          </w:p>
        </w:tc>
        <w:tc>
          <w:tcPr>
            <w:tcW w:w="23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植株：茎高度</w:t>
            </w:r>
          </w:p>
        </w:tc>
        <w:tc>
          <w:tcPr>
            <w:tcW w:w="94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Chr14</w:t>
            </w:r>
          </w:p>
        </w:tc>
        <w:tc>
          <w:tcPr>
            <w:tcW w:w="2896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果实</w:t>
            </w:r>
            <w:r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  <w:t>：</w:t>
            </w: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纵径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117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Chr3</w:t>
            </w:r>
          </w:p>
        </w:tc>
        <w:tc>
          <w:tcPr>
            <w:tcW w:w="2307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植株：树干围径</w:t>
            </w:r>
          </w:p>
        </w:tc>
        <w:tc>
          <w:tcPr>
            <w:tcW w:w="94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Chr15</w:t>
            </w:r>
          </w:p>
        </w:tc>
        <w:tc>
          <w:tcPr>
            <w:tcW w:w="2896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  <w:t>果实：种仁数量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117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Chr4</w:t>
            </w:r>
          </w:p>
        </w:tc>
        <w:tc>
          <w:tcPr>
            <w:tcW w:w="2307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  <w:t>叶：叶柄颜色</w:t>
            </w:r>
          </w:p>
        </w:tc>
        <w:tc>
          <w:tcPr>
            <w:tcW w:w="94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Chr16</w:t>
            </w:r>
          </w:p>
        </w:tc>
        <w:tc>
          <w:tcPr>
            <w:tcW w:w="2896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  <w:t>果实：中果皮颜色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117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Chr5</w:t>
            </w:r>
          </w:p>
        </w:tc>
        <w:tc>
          <w:tcPr>
            <w:tcW w:w="2307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  <w:t>叶：叶柄刺密度</w:t>
            </w:r>
          </w:p>
        </w:tc>
        <w:tc>
          <w:tcPr>
            <w:tcW w:w="94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Chr17</w:t>
            </w:r>
          </w:p>
        </w:tc>
        <w:tc>
          <w:tcPr>
            <w:tcW w:w="2896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  <w:t>种子：重量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117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Chr6</w:t>
            </w:r>
          </w:p>
        </w:tc>
        <w:tc>
          <w:tcPr>
            <w:tcW w:w="2307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  <w:t>果穗</w:t>
            </w: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：柄长度</w:t>
            </w:r>
          </w:p>
        </w:tc>
        <w:tc>
          <w:tcPr>
            <w:tcW w:w="94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Chr18</w:t>
            </w:r>
          </w:p>
        </w:tc>
        <w:tc>
          <w:tcPr>
            <w:tcW w:w="2896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  <w:t>种子：横径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117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Chr7</w:t>
            </w:r>
          </w:p>
        </w:tc>
        <w:tc>
          <w:tcPr>
            <w:tcW w:w="2307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  <w:t>果穗</w:t>
            </w: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：刺长度</w:t>
            </w:r>
          </w:p>
        </w:tc>
        <w:tc>
          <w:tcPr>
            <w:tcW w:w="94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Chr19</w:t>
            </w:r>
          </w:p>
        </w:tc>
        <w:tc>
          <w:tcPr>
            <w:tcW w:w="2896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  <w:t>种子：纵径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117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Chr8</w:t>
            </w:r>
          </w:p>
        </w:tc>
        <w:tc>
          <w:tcPr>
            <w:tcW w:w="2307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  <w:t>果穗</w:t>
            </w: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：刺密度</w:t>
            </w:r>
          </w:p>
        </w:tc>
        <w:tc>
          <w:tcPr>
            <w:tcW w:w="94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Chr20</w:t>
            </w:r>
          </w:p>
        </w:tc>
        <w:tc>
          <w:tcPr>
            <w:tcW w:w="2896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  <w:t>果穗：出油率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117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Chr9</w:t>
            </w:r>
          </w:p>
        </w:tc>
        <w:tc>
          <w:tcPr>
            <w:tcW w:w="2307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  <w:t>果穗</w:t>
            </w: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：重量</w:t>
            </w:r>
          </w:p>
        </w:tc>
        <w:tc>
          <w:tcPr>
            <w:tcW w:w="94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Chr21</w:t>
            </w:r>
          </w:p>
        </w:tc>
        <w:tc>
          <w:tcPr>
            <w:tcW w:w="2896" w:type="dxa"/>
            <w:vAlign w:val="top"/>
          </w:tcPr>
          <w:p>
            <w:pPr>
              <w:pStyle w:val="7"/>
              <w:widowControl w:val="0"/>
              <w:ind w:firstLine="0" w:firstLineChars="0"/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kern w:val="2"/>
                <w:sz w:val="21"/>
                <w:szCs w:val="21"/>
                <w:lang w:eastAsia="zh-CN" w:bidi="ar"/>
              </w:rPr>
              <w:t>果实：中果皮占果实重量比例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117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Chr10</w:t>
            </w:r>
          </w:p>
        </w:tc>
        <w:tc>
          <w:tcPr>
            <w:tcW w:w="2307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果实</w:t>
            </w:r>
            <w:r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  <w:t>：</w:t>
            </w: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类型</w:t>
            </w:r>
          </w:p>
        </w:tc>
        <w:tc>
          <w:tcPr>
            <w:tcW w:w="94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Chr22</w:t>
            </w:r>
          </w:p>
        </w:tc>
        <w:tc>
          <w:tcPr>
            <w:tcW w:w="2896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  <w:t>果实：中果皮含油率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117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Chr11</w:t>
            </w:r>
          </w:p>
        </w:tc>
        <w:tc>
          <w:tcPr>
            <w:tcW w:w="2307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果实</w:t>
            </w:r>
            <w:r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  <w:t>：</w:t>
            </w: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颜色</w:t>
            </w:r>
          </w:p>
        </w:tc>
        <w:tc>
          <w:tcPr>
            <w:tcW w:w="94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Chr23</w:t>
            </w:r>
          </w:p>
        </w:tc>
        <w:tc>
          <w:tcPr>
            <w:tcW w:w="2896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  <w:t>果实：不饱和脂肪酸含量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117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Chr12</w:t>
            </w:r>
          </w:p>
        </w:tc>
        <w:tc>
          <w:tcPr>
            <w:tcW w:w="2307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果实</w:t>
            </w:r>
            <w:r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  <w:t>：</w:t>
            </w: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重量</w:t>
            </w:r>
          </w:p>
        </w:tc>
        <w:tc>
          <w:tcPr>
            <w:tcW w:w="94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Chr24</w:t>
            </w:r>
          </w:p>
        </w:tc>
        <w:tc>
          <w:tcPr>
            <w:tcW w:w="2896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  <w:t>种子</w:t>
            </w: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：种仁</w:t>
            </w:r>
            <w:r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  <w:t>含油率</w:t>
            </w:r>
          </w:p>
        </w:tc>
      </w:tr>
    </w:tbl>
    <w:p>
      <w:pPr>
        <w:ind w:firstLine="3150" w:firstLineChars="1500"/>
        <w:rPr>
          <w:rFonts w:hint="default" w:ascii="Times New Roman" w:hAnsi="Times New Roman" w:eastAsia="黑体" w:cs="Times New Roman"/>
          <w:lang w:val="en-US" w:eastAsia="zh-CN"/>
        </w:rPr>
      </w:pPr>
    </w:p>
    <w:p>
      <w:pPr>
        <w:ind w:firstLine="3150" w:firstLineChars="1500"/>
        <w:rPr>
          <w:rFonts w:hint="default" w:ascii="Times New Roman" w:hAnsi="Times New Roman" w:eastAsia="黑体" w:cs="Times New Roman"/>
          <w:lang w:val="en-US" w:eastAsia="zh-CN"/>
        </w:rPr>
      </w:pPr>
    </w:p>
    <w:p>
      <w:pPr>
        <w:snapToGrid w:val="0"/>
        <w:jc w:val="center"/>
        <w:rPr>
          <w:rFonts w:hint="default" w:ascii="Times New Roman" w:hAnsi="Times New Roman" w:cs="Times New Roma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3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2"/>
        <w:gridCol w:w="43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2" w:type="dxa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drawing>
                <wp:inline distT="0" distB="0" distL="114300" distR="114300">
                  <wp:extent cx="2501265" cy="2252980"/>
                  <wp:effectExtent l="0" t="0" r="13335" b="13970"/>
                  <wp:docPr id="1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265" cy="225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drawing>
                <wp:inline distT="0" distB="0" distL="114300" distR="114300">
                  <wp:extent cx="2520315" cy="2252345"/>
                  <wp:effectExtent l="0" t="0" r="13335" b="14605"/>
                  <wp:docPr id="1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5055" r="7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25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海南文昌调查</w:t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海南文昌</w:t>
            </w:r>
            <w:r>
              <w:rPr>
                <w:rFonts w:hint="default" w:ascii="Times New Roman" w:hAnsi="Times New Roman" w:eastAsia="仿宋" w:cs="Times New Roman"/>
                <w:szCs w:val="21"/>
                <w:lang w:eastAsia="zh-CN"/>
              </w:rPr>
              <w:t>结果树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113030</wp:posOffset>
                  </wp:positionV>
                  <wp:extent cx="2602865" cy="2204085"/>
                  <wp:effectExtent l="0" t="0" r="6985" b="5715"/>
                  <wp:wrapTight wrapText="bothSides">
                    <wp:wrapPolygon>
                      <wp:start x="0" y="0"/>
                      <wp:lineTo x="0" y="21469"/>
                      <wp:lineTo x="21500" y="21469"/>
                      <wp:lineTo x="21500" y="0"/>
                      <wp:lineTo x="0" y="0"/>
                    </wp:wrapPolygon>
                  </wp:wrapTight>
                  <wp:docPr id="13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865" cy="220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27940</wp:posOffset>
                  </wp:positionV>
                  <wp:extent cx="2623185" cy="2283460"/>
                  <wp:effectExtent l="0" t="0" r="5715" b="2540"/>
                  <wp:wrapTight wrapText="bothSides">
                    <wp:wrapPolygon>
                      <wp:start x="0" y="0"/>
                      <wp:lineTo x="0" y="21534"/>
                      <wp:lineTo x="21490" y="21534"/>
                      <wp:lineTo x="21490" y="0"/>
                      <wp:lineTo x="0" y="0"/>
                    </wp:wrapPolygon>
                  </wp:wrapTight>
                  <wp:docPr id="133" name="图片 5" descr="G:\转移文件\2019\P114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5" descr="G:\转移文件\2019\P1140093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85" cy="228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广西东兴调查</w:t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广西东兴调查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</w:rPr>
              <w:drawing>
                <wp:anchor distT="0" distB="0" distL="0" distR="0" simplePos="0" relativeHeight="251668480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91440</wp:posOffset>
                  </wp:positionV>
                  <wp:extent cx="2670810" cy="2003425"/>
                  <wp:effectExtent l="0" t="0" r="34290" b="53975"/>
                  <wp:wrapTight wrapText="bothSides">
                    <wp:wrapPolygon>
                      <wp:start x="0" y="0"/>
                      <wp:lineTo x="0" y="21360"/>
                      <wp:lineTo x="21415" y="21360"/>
                      <wp:lineTo x="21415" y="0"/>
                      <wp:lineTo x="0" y="0"/>
                    </wp:wrapPolygon>
                  </wp:wrapTight>
                  <wp:docPr id="2" name="图片 1" descr="E:\申报材料\油棕\9个油棕品种试种\试种相片\云南\2019.12调查照片\微信图片_2019120909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E:\申报材料\油棕\9个油棕品种试种\试种相片\云南\2019.12调查照片\微信图片_20191209092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810" cy="200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95885</wp:posOffset>
                  </wp:positionV>
                  <wp:extent cx="2783205" cy="1990090"/>
                  <wp:effectExtent l="0" t="0" r="17145" b="0"/>
                  <wp:wrapTight wrapText="bothSides">
                    <wp:wrapPolygon>
                      <wp:start x="0" y="0"/>
                      <wp:lineTo x="0" y="21297"/>
                      <wp:lineTo x="21437" y="21297"/>
                      <wp:lineTo x="21437" y="0"/>
                      <wp:lineTo x="0" y="0"/>
                    </wp:wrapPolygon>
                  </wp:wrapTight>
                  <wp:docPr id="1" name="图片 1" descr="C:\Users\ADMINI~1\AppData\Local\Temp\WeChat Files\8816de36746212dbf145b3053d3f5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I~1\AppData\Local\Temp\WeChat Files\8816de36746212dbf145b3053d3f5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205" cy="199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云南保山调查</w:t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云南保山</w:t>
            </w:r>
            <w:r>
              <w:rPr>
                <w:rFonts w:hint="default" w:ascii="Times New Roman" w:hAnsi="Times New Roman" w:eastAsia="仿宋" w:cs="Times New Roman"/>
                <w:szCs w:val="21"/>
                <w:lang w:eastAsia="zh-CN"/>
              </w:rPr>
              <w:t>调查</w:t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" w:cs="Times New Roman"/>
          <w:b/>
          <w:bCs/>
          <w:szCs w:val="21"/>
        </w:rPr>
        <w:t xml:space="preserve">图1  </w:t>
      </w:r>
      <w:r>
        <w:rPr>
          <w:rFonts w:hint="default" w:ascii="Times New Roman" w:hAnsi="Times New Roman" w:eastAsia="仿宋" w:cs="Times New Roman"/>
          <w:b/>
          <w:bCs/>
          <w:szCs w:val="21"/>
          <w:lang w:val="en-US" w:eastAsia="zh-CN"/>
        </w:rPr>
        <w:t>2019</w:t>
      </w:r>
      <w:r>
        <w:rPr>
          <w:rFonts w:hint="default" w:ascii="Times New Roman" w:hAnsi="Times New Roman" w:eastAsia="仿宋" w:cs="Times New Roman"/>
          <w:b/>
          <w:bCs/>
          <w:szCs w:val="21"/>
        </w:rPr>
        <w:t>年不同试种点资源的跟踪调查</w:t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tbl>
      <w:tblPr>
        <w:tblStyle w:val="3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2"/>
        <w:gridCol w:w="43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2" w:type="dxa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drawing>
                <wp:inline distT="0" distB="0" distL="114300" distR="114300">
                  <wp:extent cx="2524125" cy="1892935"/>
                  <wp:effectExtent l="0" t="0" r="9525" b="12065"/>
                  <wp:docPr id="121" name="图片 1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0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89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drawing>
                <wp:inline distT="0" distB="0" distL="114300" distR="114300">
                  <wp:extent cx="2600960" cy="1950720"/>
                  <wp:effectExtent l="0" t="0" r="8890" b="11430"/>
                  <wp:docPr id="122" name="图片 1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1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95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海南文昌调查</w:t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海南文昌调查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drawing>
                <wp:inline distT="0" distB="0" distL="114300" distR="114300">
                  <wp:extent cx="2530475" cy="2046605"/>
                  <wp:effectExtent l="0" t="0" r="3175" b="10795"/>
                  <wp:docPr id="123" name="图片 1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475" cy="204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drawing>
                <wp:inline distT="0" distB="0" distL="114300" distR="114300">
                  <wp:extent cx="2603500" cy="2084070"/>
                  <wp:effectExtent l="0" t="0" r="6350" b="11430"/>
                  <wp:docPr id="124" name="图片 13" descr="微信图片_20201217101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3" descr="微信图片_202012171016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208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广西东兴调查</w:t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广西东兴调查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drawing>
                <wp:inline distT="0" distB="0" distL="114300" distR="114300">
                  <wp:extent cx="2520950" cy="2023745"/>
                  <wp:effectExtent l="0" t="0" r="12700" b="14605"/>
                  <wp:docPr id="125" name="图片 14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4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202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drawing>
                <wp:inline distT="0" distB="0" distL="114300" distR="114300">
                  <wp:extent cx="2574925" cy="2061845"/>
                  <wp:effectExtent l="0" t="0" r="15875" b="14605"/>
                  <wp:docPr id="126" name="图片 15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5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206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云南保山调查</w:t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云南保山结果树</w:t>
            </w:r>
          </w:p>
        </w:tc>
      </w:tr>
    </w:tbl>
    <w:p>
      <w:pPr>
        <w:jc w:val="center"/>
        <w:rPr>
          <w:rFonts w:hint="default" w:ascii="Times New Roman" w:hAnsi="Times New Roman" w:cs="Times New Roma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仿宋" w:cs="Times New Roman"/>
          <w:b/>
          <w:bCs/>
          <w:szCs w:val="21"/>
        </w:rPr>
        <w:t>图</w:t>
      </w:r>
      <w:r>
        <w:rPr>
          <w:rFonts w:hint="default" w:ascii="Times New Roman" w:hAnsi="Times New Roman" w:eastAsia="仿宋" w:cs="Times New Roman"/>
          <w:b/>
          <w:bCs/>
          <w:szCs w:val="21"/>
          <w:lang w:val="en-US" w:eastAsia="zh-CN"/>
        </w:rPr>
        <w:t>2</w:t>
      </w:r>
      <w:r>
        <w:rPr>
          <w:rFonts w:hint="default" w:ascii="Times New Roman" w:hAnsi="Times New Roman" w:eastAsia="仿宋" w:cs="Times New Roman"/>
          <w:b/>
          <w:bCs/>
          <w:szCs w:val="21"/>
        </w:rPr>
        <w:t xml:space="preserve">  2020年不同试种点资源的跟踪调查</w:t>
      </w:r>
    </w:p>
    <w:tbl>
      <w:tblPr>
        <w:tblStyle w:val="3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2"/>
        <w:gridCol w:w="43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2" w:type="dxa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drawing>
                <wp:inline distT="0" distB="0" distL="114300" distR="114300">
                  <wp:extent cx="2506345" cy="2506345"/>
                  <wp:effectExtent l="0" t="0" r="8255" b="8255"/>
                  <wp:docPr id="72" name="图片 1" descr="eb209f7037226b015867e428b1389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" descr="eb209f7037226b015867e428b1389d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5" cy="250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drawing>
                <wp:inline distT="0" distB="0" distL="114300" distR="114300">
                  <wp:extent cx="2505710" cy="2505710"/>
                  <wp:effectExtent l="0" t="0" r="8890" b="8890"/>
                  <wp:docPr id="79" name="图片 2" descr="7ebadce677da021684ad2dab0ff0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2" descr="7ebadce677da021684ad2dab0ff01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250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海南文昌调查</w:t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海南文昌调查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2" w:hRule="atLeast"/>
        </w:trPr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drawing>
                <wp:inline distT="0" distB="0" distL="114300" distR="114300">
                  <wp:extent cx="2524760" cy="1893570"/>
                  <wp:effectExtent l="0" t="0" r="8890" b="11430"/>
                  <wp:docPr id="82" name="图片 3" descr="ae6e1cd639650b836440046ed2779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3" descr="ae6e1cd639650b836440046ed2779e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189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drawing>
                <wp:inline distT="0" distB="0" distL="114300" distR="114300">
                  <wp:extent cx="2524125" cy="1892300"/>
                  <wp:effectExtent l="0" t="0" r="9525" b="12700"/>
                  <wp:docPr id="89" name="图片 5" descr="47c4f48a8911a9098c04dfe637bc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5" descr="47c4f48a8911a9098c04dfe637bc74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云南保山调查</w:t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云南保山调查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3" w:hRule="atLeast"/>
        </w:trPr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drawing>
                <wp:inline distT="0" distB="0" distL="114300" distR="114300">
                  <wp:extent cx="2505710" cy="2505710"/>
                  <wp:effectExtent l="0" t="0" r="8890" b="8890"/>
                  <wp:docPr id="90" name="图片 7" descr="760d79fe6bb19b40d65cd41fabfb5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7" descr="760d79fe6bb19b40d65cd41fabfb5d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250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drawing>
                <wp:inline distT="0" distB="0" distL="114300" distR="114300">
                  <wp:extent cx="2505710" cy="2505710"/>
                  <wp:effectExtent l="0" t="0" r="8890" b="8890"/>
                  <wp:docPr id="91" name="图片 8" descr="598f962e98ee65509673cf392a73d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8" descr="598f962e98ee65509673cf392a73de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250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广西东兴调查</w:t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广西东兴调查</w:t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" w:cs="Times New Roman"/>
          <w:b/>
          <w:bCs/>
          <w:szCs w:val="21"/>
        </w:rPr>
        <w:t>图</w:t>
      </w:r>
      <w:r>
        <w:rPr>
          <w:rFonts w:hint="default" w:ascii="Times New Roman" w:hAnsi="Times New Roman" w:eastAsia="仿宋" w:cs="Times New Roman"/>
          <w:b/>
          <w:bCs/>
          <w:szCs w:val="21"/>
          <w:lang w:val="en-US" w:eastAsia="zh-CN"/>
        </w:rPr>
        <w:t>3</w:t>
      </w:r>
      <w:r>
        <w:rPr>
          <w:rFonts w:hint="default" w:ascii="Times New Roman" w:hAnsi="Times New Roman" w:eastAsia="仿宋" w:cs="Times New Roman"/>
          <w:b/>
          <w:bCs/>
          <w:szCs w:val="21"/>
        </w:rPr>
        <w:t xml:space="preserve">  2021年不同油棕试种基地资源的跟踪调查</w:t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3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2"/>
        <w:gridCol w:w="43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2" w:type="dxa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38100</wp:posOffset>
                  </wp:positionV>
                  <wp:extent cx="2466975" cy="2433955"/>
                  <wp:effectExtent l="0" t="0" r="0" b="4445"/>
                  <wp:wrapTight wrapText="bothSides">
                    <wp:wrapPolygon>
                      <wp:start x="0" y="0"/>
                      <wp:lineTo x="0" y="21555"/>
                      <wp:lineTo x="21517" y="21555"/>
                      <wp:lineTo x="21517" y="0"/>
                      <wp:lineTo x="0" y="0"/>
                    </wp:wrapPolygon>
                  </wp:wrapTight>
                  <wp:docPr id="112" name="图片 112" descr="d9142048297d859cbd6166853464a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 descr="d9142048297d859cbd6166853464a2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4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20" w:type="dxa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451100" cy="2436495"/>
                  <wp:effectExtent l="0" t="0" r="6350" b="1905"/>
                  <wp:docPr id="11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243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海南文昌调查</w:t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海南文昌调查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171450</wp:posOffset>
                  </wp:positionV>
                  <wp:extent cx="2527300" cy="1953895"/>
                  <wp:effectExtent l="0" t="0" r="6350" b="0"/>
                  <wp:wrapTight wrapText="bothSides">
                    <wp:wrapPolygon>
                      <wp:start x="0" y="0"/>
                      <wp:lineTo x="0" y="21481"/>
                      <wp:lineTo x="21491" y="21481"/>
                      <wp:lineTo x="21491" y="0"/>
                      <wp:lineTo x="0" y="0"/>
                    </wp:wrapPolygon>
                  </wp:wrapTight>
                  <wp:docPr id="10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95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152400</wp:posOffset>
                  </wp:positionV>
                  <wp:extent cx="2603500" cy="1957705"/>
                  <wp:effectExtent l="0" t="0" r="6350" b="4445"/>
                  <wp:wrapTight wrapText="bothSides">
                    <wp:wrapPolygon>
                      <wp:start x="0" y="0"/>
                      <wp:lineTo x="0" y="21439"/>
                      <wp:lineTo x="21495" y="21439"/>
                      <wp:lineTo x="21495" y="0"/>
                      <wp:lineTo x="0" y="0"/>
                    </wp:wrapPolygon>
                  </wp:wrapTight>
                  <wp:docPr id="10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广西东兴调查</w:t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广西东兴调查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114300</wp:posOffset>
                  </wp:positionV>
                  <wp:extent cx="2527935" cy="1912620"/>
                  <wp:effectExtent l="0" t="0" r="5715" b="11430"/>
                  <wp:wrapTight wrapText="bothSides">
                    <wp:wrapPolygon>
                      <wp:start x="0" y="0"/>
                      <wp:lineTo x="0" y="21299"/>
                      <wp:lineTo x="21486" y="21299"/>
                      <wp:lineTo x="21486" y="0"/>
                      <wp:lineTo x="0" y="0"/>
                    </wp:wrapPolygon>
                  </wp:wrapTight>
                  <wp:docPr id="10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935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114300</wp:posOffset>
                  </wp:positionV>
                  <wp:extent cx="2604135" cy="1947545"/>
                  <wp:effectExtent l="0" t="0" r="5715" b="14605"/>
                  <wp:wrapTight wrapText="bothSides">
                    <wp:wrapPolygon>
                      <wp:start x="0" y="0"/>
                      <wp:lineTo x="0" y="21339"/>
                      <wp:lineTo x="21489" y="21339"/>
                      <wp:lineTo x="21489" y="0"/>
                      <wp:lineTo x="0" y="0"/>
                    </wp:wrapPolygon>
                  </wp:wrapTight>
                  <wp:docPr id="10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云南保山调查</w:t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云南保山</w:t>
            </w:r>
            <w:r>
              <w:rPr>
                <w:rFonts w:hint="default" w:ascii="Times New Roman" w:hAnsi="Times New Roman" w:eastAsia="仿宋" w:cs="Times New Roman"/>
                <w:szCs w:val="21"/>
                <w:lang w:eastAsia="zh-CN"/>
              </w:rPr>
              <w:t>调查</w:t>
            </w:r>
          </w:p>
        </w:tc>
      </w:tr>
    </w:tbl>
    <w:p>
      <w:pPr>
        <w:spacing w:line="480" w:lineRule="exact"/>
        <w:jc w:val="center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bCs/>
          <w:szCs w:val="21"/>
        </w:rPr>
        <w:t>图</w:t>
      </w:r>
      <w:r>
        <w:rPr>
          <w:rFonts w:hint="default" w:ascii="Times New Roman" w:hAnsi="Times New Roman" w:eastAsia="仿宋" w:cs="Times New Roman"/>
          <w:b/>
          <w:bCs/>
          <w:szCs w:val="21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b/>
          <w:bCs/>
          <w:szCs w:val="21"/>
        </w:rPr>
        <w:t xml:space="preserve">  202</w:t>
      </w:r>
      <w:r>
        <w:rPr>
          <w:rFonts w:hint="default" w:ascii="Times New Roman" w:hAnsi="Times New Roman" w:eastAsia="仿宋" w:cs="Times New Roman"/>
          <w:b/>
          <w:bCs/>
          <w:szCs w:val="21"/>
          <w:lang w:val="en-US" w:eastAsia="zh-CN"/>
        </w:rPr>
        <w:t>2</w:t>
      </w:r>
      <w:r>
        <w:rPr>
          <w:rFonts w:hint="default" w:ascii="Times New Roman" w:hAnsi="Times New Roman" w:eastAsia="仿宋" w:cs="Times New Roman"/>
          <w:b/>
          <w:bCs/>
          <w:szCs w:val="21"/>
        </w:rPr>
        <w:t>年不同试种点资源的跟踪调查</w:t>
      </w:r>
    </w:p>
    <w:tbl>
      <w:tblPr>
        <w:tblStyle w:val="3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2"/>
        <w:gridCol w:w="43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2" w:type="dxa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106680</wp:posOffset>
                  </wp:positionV>
                  <wp:extent cx="2606675" cy="1730375"/>
                  <wp:effectExtent l="0" t="0" r="3175" b="0"/>
                  <wp:wrapTight wrapText="bothSides">
                    <wp:wrapPolygon>
                      <wp:start x="0" y="0"/>
                      <wp:lineTo x="0" y="21521"/>
                      <wp:lineTo x="21547" y="21521"/>
                      <wp:lineTo x="21547" y="0"/>
                      <wp:lineTo x="0" y="0"/>
                    </wp:wrapPolygon>
                  </wp:wrapTight>
                  <wp:docPr id="8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675" cy="173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20" w:type="dxa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93345</wp:posOffset>
                  </wp:positionV>
                  <wp:extent cx="2585720" cy="1745615"/>
                  <wp:effectExtent l="0" t="0" r="5080" b="0"/>
                  <wp:wrapTight wrapText="bothSides">
                    <wp:wrapPolygon>
                      <wp:start x="0" y="0"/>
                      <wp:lineTo x="0" y="21451"/>
                      <wp:lineTo x="21483" y="21451"/>
                      <wp:lineTo x="21483" y="0"/>
                      <wp:lineTo x="0" y="0"/>
                    </wp:wrapPolygon>
                  </wp:wrapTight>
                  <wp:docPr id="10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720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海南文昌调查</w:t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海南文昌调查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142875</wp:posOffset>
                  </wp:positionV>
                  <wp:extent cx="2529840" cy="1976755"/>
                  <wp:effectExtent l="0" t="0" r="3810" b="4445"/>
                  <wp:wrapTight wrapText="bothSides">
                    <wp:wrapPolygon>
                      <wp:start x="0" y="0"/>
                      <wp:lineTo x="0" y="21440"/>
                      <wp:lineTo x="21470" y="21440"/>
                      <wp:lineTo x="21470" y="0"/>
                      <wp:lineTo x="0" y="0"/>
                    </wp:wrapPolygon>
                  </wp:wrapTight>
                  <wp:docPr id="10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197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152400</wp:posOffset>
                  </wp:positionV>
                  <wp:extent cx="2601595" cy="1946275"/>
                  <wp:effectExtent l="0" t="0" r="8255" b="15875"/>
                  <wp:wrapTight wrapText="bothSides">
                    <wp:wrapPolygon>
                      <wp:start x="0" y="0"/>
                      <wp:lineTo x="0" y="21353"/>
                      <wp:lineTo x="21510" y="21353"/>
                      <wp:lineTo x="21510" y="0"/>
                      <wp:lineTo x="0" y="0"/>
                    </wp:wrapPolygon>
                  </wp:wrapTight>
                  <wp:docPr id="10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595" cy="194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FF0000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广西东兴调查</w:t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FF0000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广西东兴调查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515235" cy="3105785"/>
                  <wp:effectExtent l="0" t="0" r="8890" b="8890"/>
                  <wp:docPr id="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310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522855" cy="3057525"/>
                  <wp:effectExtent l="0" t="0" r="1270" b="0"/>
                  <wp:docPr id="8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85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4202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云南保山调查</w:t>
            </w:r>
          </w:p>
        </w:tc>
        <w:tc>
          <w:tcPr>
            <w:tcW w:w="4320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云南保山</w:t>
            </w:r>
            <w:r>
              <w:rPr>
                <w:rFonts w:hint="default" w:ascii="Times New Roman" w:hAnsi="Times New Roman" w:eastAsia="仿宋" w:cs="Times New Roman"/>
                <w:szCs w:val="21"/>
                <w:lang w:eastAsia="zh-CN"/>
              </w:rPr>
              <w:t>调查</w:t>
            </w:r>
          </w:p>
        </w:tc>
      </w:tr>
    </w:tbl>
    <w:p>
      <w:pPr>
        <w:spacing w:line="480" w:lineRule="exact"/>
        <w:jc w:val="center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bCs/>
          <w:szCs w:val="21"/>
        </w:rPr>
        <w:t>图</w:t>
      </w:r>
      <w:r>
        <w:rPr>
          <w:rFonts w:hint="default" w:ascii="Times New Roman" w:hAnsi="Times New Roman" w:eastAsia="仿宋" w:cs="Times New Roman"/>
          <w:b/>
          <w:bCs/>
          <w:szCs w:val="21"/>
          <w:lang w:val="en-US" w:eastAsia="zh-CN"/>
        </w:rPr>
        <w:t>5</w:t>
      </w:r>
      <w:r>
        <w:rPr>
          <w:rFonts w:hint="default" w:ascii="Times New Roman" w:hAnsi="Times New Roman" w:eastAsia="仿宋" w:cs="Times New Roman"/>
          <w:b/>
          <w:bCs/>
          <w:szCs w:val="21"/>
        </w:rPr>
        <w:t xml:space="preserve">  202</w:t>
      </w:r>
      <w:r>
        <w:rPr>
          <w:rFonts w:hint="default" w:ascii="Times New Roman" w:hAnsi="Times New Roman" w:eastAsia="仿宋" w:cs="Times New Roman"/>
          <w:b/>
          <w:bCs/>
          <w:szCs w:val="21"/>
          <w:lang w:val="en-US" w:eastAsia="zh-CN"/>
        </w:rPr>
        <w:t>3</w:t>
      </w:r>
      <w:r>
        <w:rPr>
          <w:rFonts w:hint="default" w:ascii="Times New Roman" w:hAnsi="Times New Roman" w:eastAsia="仿宋" w:cs="Times New Roman"/>
          <w:b/>
          <w:bCs/>
          <w:szCs w:val="21"/>
        </w:rPr>
        <w:t>年不同试种点资源的跟踪调查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（1）观测项目与方法</w:t>
      </w:r>
    </w:p>
    <w:p>
      <w:pPr>
        <w:numPr>
          <w:ilvl w:val="255"/>
          <w:numId w:val="0"/>
        </w:numPr>
        <w:spacing w:line="560" w:lineRule="exact"/>
        <w:ind w:firstLine="560" w:firstLineChars="200"/>
        <w:jc w:val="left"/>
        <w:rPr>
          <w:rFonts w:hint="default" w:ascii="Times New Roman" w:hAnsi="Times New Roman" w:eastAsia="仿宋" w:cs="Times New Roman"/>
          <w:sz w:val="28"/>
          <w:szCs w:val="28"/>
          <w:lang w:bidi="ar"/>
        </w:rPr>
      </w:pP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参照油棕种质资源描述规范测量茎高</w:t>
      </w:r>
      <w:r>
        <w:rPr>
          <w:rFonts w:hint="default" w:ascii="Times New Roman" w:hAnsi="Times New Roman" w:eastAsia="仿宋" w:cs="Times New Roman"/>
          <w:sz w:val="28"/>
          <w:szCs w:val="28"/>
          <w:lang w:eastAsia="zh-CN" w:bidi="ar"/>
        </w:rPr>
        <w:t>度</w:t>
      </w: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（地面到植株第1片叶基部的垂直距离）。</w:t>
      </w:r>
    </w:p>
    <w:p>
      <w:pPr>
        <w:spacing w:line="560" w:lineRule="exact"/>
        <w:ind w:firstLine="560" w:firstLineChars="200"/>
        <w:jc w:val="left"/>
        <w:rPr>
          <w:rFonts w:hint="default" w:ascii="Times New Roman" w:hAnsi="Times New Roman" w:eastAsia="仿宋" w:cs="Times New Roman"/>
          <w:sz w:val="28"/>
          <w:szCs w:val="28"/>
          <w:lang w:bidi="ar"/>
        </w:rPr>
      </w:pP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单果重(g)=果穗中所有果实重/果</w:t>
      </w:r>
      <w:r>
        <w:rPr>
          <w:rFonts w:hint="default" w:ascii="Times New Roman" w:hAnsi="Times New Roman" w:eastAsia="仿宋" w:cs="Times New Roman"/>
          <w:sz w:val="28"/>
          <w:szCs w:val="28"/>
          <w:lang w:eastAsia="zh-CN" w:bidi="ar"/>
        </w:rPr>
        <w:t>粒</w:t>
      </w: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 xml:space="preserve">数 </w:t>
      </w:r>
    </w:p>
    <w:p>
      <w:pPr>
        <w:spacing w:line="560" w:lineRule="exact"/>
        <w:ind w:firstLine="560" w:firstLineChars="200"/>
        <w:jc w:val="left"/>
        <w:rPr>
          <w:rFonts w:hint="default" w:ascii="Times New Roman" w:hAnsi="Times New Roman" w:eastAsia="仿宋" w:cs="Times New Roman"/>
          <w:sz w:val="28"/>
          <w:szCs w:val="28"/>
          <w:lang w:bidi="ar"/>
        </w:rPr>
      </w:pP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果实出油率(%)=果肉/果实（%）×果肉出油率/100+果仁/果实（%）×果仁出油率/100</w:t>
      </w:r>
    </w:p>
    <w:p>
      <w:pPr>
        <w:spacing w:line="560" w:lineRule="exact"/>
        <w:ind w:firstLine="560" w:firstLineChars="200"/>
        <w:jc w:val="left"/>
        <w:rPr>
          <w:rFonts w:hint="default" w:ascii="Times New Roman" w:hAnsi="Times New Roman" w:eastAsia="仿宋" w:cs="Times New Roman"/>
          <w:sz w:val="28"/>
          <w:szCs w:val="28"/>
          <w:lang w:bidi="ar"/>
        </w:rPr>
      </w:pP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果穗出油率(%)=果实/果穗（%）×果实出油率/100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（2）油棕树植株性状多样性分析</w:t>
      </w:r>
    </w:p>
    <w:p>
      <w:pPr>
        <w:spacing w:line="560" w:lineRule="exact"/>
        <w:ind w:firstLine="560" w:firstLineChars="200"/>
        <w:jc w:val="left"/>
        <w:rPr>
          <w:rFonts w:hint="default" w:ascii="Times New Roman" w:hAnsi="Times New Roman" w:eastAsia="仿宋" w:cs="Times New Roman"/>
          <w:sz w:val="28"/>
          <w:szCs w:val="28"/>
          <w:lang w:bidi="ar"/>
        </w:rPr>
      </w:pP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由图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 w:bidi="ar"/>
        </w:rPr>
        <w:t>6</w:t>
      </w: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、表4和图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 w:bidi="ar"/>
        </w:rPr>
        <w:t>7</w:t>
      </w: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可知，植株：株型形状有直立型、纺锤型、下垂型；同一树龄的植株茎高度有矮、</w:t>
      </w:r>
      <w:r>
        <w:rPr>
          <w:rFonts w:hint="default" w:ascii="Times New Roman" w:hAnsi="Times New Roman" w:eastAsia="仿宋" w:cs="Times New Roman"/>
          <w:sz w:val="28"/>
          <w:szCs w:val="28"/>
          <w:lang w:eastAsia="zh-CN" w:bidi="ar"/>
        </w:rPr>
        <w:t>矮到中、</w:t>
      </w: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中、</w:t>
      </w:r>
      <w:r>
        <w:rPr>
          <w:rFonts w:hint="default" w:ascii="Times New Roman" w:hAnsi="Times New Roman" w:eastAsia="仿宋" w:cs="Times New Roman"/>
          <w:sz w:val="28"/>
          <w:szCs w:val="28"/>
          <w:lang w:eastAsia="zh-CN" w:bidi="ar"/>
        </w:rPr>
        <w:t>中到高、</w:t>
      </w: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高之分，分别占种质数量的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 w:bidi="ar"/>
        </w:rPr>
        <w:t>18.2</w:t>
      </w: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%、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 w:bidi="ar"/>
        </w:rPr>
        <w:t>22.7</w:t>
      </w: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%、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 w:bidi="ar"/>
        </w:rPr>
        <w:t>35.5</w:t>
      </w: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%</w:t>
      </w:r>
      <w:r>
        <w:rPr>
          <w:rFonts w:hint="default" w:ascii="Times New Roman" w:hAnsi="Times New Roman" w:eastAsia="仿宋" w:cs="Times New Roman"/>
          <w:sz w:val="28"/>
          <w:szCs w:val="28"/>
          <w:lang w:eastAsia="zh-CN" w:bidi="ar"/>
        </w:rPr>
        <w:t>、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 w:bidi="ar"/>
        </w:rPr>
        <w:t>12.7</w:t>
      </w: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%</w:t>
      </w:r>
      <w:r>
        <w:rPr>
          <w:rFonts w:hint="default" w:ascii="Times New Roman" w:hAnsi="Times New Roman" w:eastAsia="仿宋" w:cs="Times New Roman"/>
          <w:sz w:val="28"/>
          <w:szCs w:val="28"/>
          <w:lang w:eastAsia="zh-CN" w:bidi="ar"/>
        </w:rPr>
        <w:t>、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 w:bidi="ar"/>
        </w:rPr>
        <w:t>10.9</w:t>
      </w: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%；围径大的占种质数量较少，占11.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 w:bidi="ar"/>
        </w:rPr>
        <w:t>8</w:t>
      </w: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%、围径小的占2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 w:bidi="ar"/>
        </w:rPr>
        <w:t>0.0</w:t>
      </w: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%、</w:t>
      </w:r>
      <w:r>
        <w:rPr>
          <w:rFonts w:hint="default" w:ascii="Times New Roman" w:hAnsi="Times New Roman" w:eastAsia="仿宋" w:cs="Times New Roman"/>
          <w:sz w:val="28"/>
          <w:szCs w:val="28"/>
          <w:lang w:eastAsia="zh-CN" w:bidi="ar"/>
        </w:rPr>
        <w:t>小到中</w:t>
      </w: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的占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 w:bidi="ar"/>
        </w:rPr>
        <w:t>20.0</w:t>
      </w: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%</w:t>
      </w:r>
      <w:r>
        <w:rPr>
          <w:rFonts w:hint="default" w:ascii="Times New Roman" w:hAnsi="Times New Roman" w:eastAsia="仿宋" w:cs="Times New Roman"/>
          <w:sz w:val="28"/>
          <w:szCs w:val="28"/>
          <w:lang w:eastAsia="zh-CN" w:bidi="ar"/>
        </w:rPr>
        <w:t>、中的占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 w:bidi="ar"/>
        </w:rPr>
        <w:t>27.3</w:t>
      </w: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%</w:t>
      </w:r>
      <w:r>
        <w:rPr>
          <w:rFonts w:hint="default" w:ascii="Times New Roman" w:hAnsi="Times New Roman" w:eastAsia="仿宋" w:cs="Times New Roman"/>
          <w:sz w:val="28"/>
          <w:szCs w:val="28"/>
          <w:lang w:eastAsia="zh-CN" w:bidi="ar"/>
        </w:rPr>
        <w:t>、中到大的占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 w:bidi="ar"/>
        </w:rPr>
        <w:t>20.9%</w:t>
      </w:r>
      <w:r>
        <w:rPr>
          <w:rFonts w:hint="default" w:ascii="Times New Roman" w:hAnsi="Times New Roman" w:eastAsia="仿宋" w:cs="Times New Roman"/>
          <w:sz w:val="28"/>
          <w:szCs w:val="28"/>
          <w:lang w:bidi="ar"/>
        </w:rPr>
        <w:t>。</w:t>
      </w:r>
    </w:p>
    <w:p>
      <w:pPr>
        <w:rPr>
          <w:rFonts w:hint="default" w:ascii="Times New Roman" w:hAnsi="Times New Roman" w:cs="Times New Roma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4"/>
        <w:tblW w:w="88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6"/>
        <w:gridCol w:w="2706"/>
        <w:gridCol w:w="342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0" w:hRule="atLeast"/>
          <w:jc w:val="center"/>
        </w:trPr>
        <w:tc>
          <w:tcPr>
            <w:tcW w:w="2706" w:type="dxa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1579880" cy="1800225"/>
                  <wp:effectExtent l="0" t="0" r="1270" b="9525"/>
                  <wp:docPr id="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139065</wp:posOffset>
                  </wp:positionV>
                  <wp:extent cx="1677670" cy="1793240"/>
                  <wp:effectExtent l="0" t="0" r="17780" b="16510"/>
                  <wp:wrapTight wrapText="bothSides">
                    <wp:wrapPolygon>
                      <wp:start x="0" y="0"/>
                      <wp:lineTo x="0" y="21340"/>
                      <wp:lineTo x="21338" y="21340"/>
                      <wp:lineTo x="21338" y="0"/>
                      <wp:lineTo x="0" y="0"/>
                    </wp:wrapPolygon>
                  </wp:wrapTight>
                  <wp:docPr id="9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6" w:type="dxa"/>
          </w:tcPr>
          <w:p>
            <w:pPr>
              <w:rPr>
                <w:rFonts w:hint="default" w:ascii="Times New Roman" w:hAnsi="Times New Roman" w:cs="Times New Roman" w:eastAsiaTheme="minorEastAsia"/>
                <w:lang w:eastAsia="zh-C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332355" cy="2053590"/>
                  <wp:effectExtent l="0" t="0" r="1270" b="3810"/>
                  <wp:docPr id="1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355" cy="205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06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</w:rPr>
            </w:pPr>
            <w:r>
              <w:rPr>
                <w:rFonts w:hint="default" w:ascii="Times New Roman" w:hAnsi="Times New Roman" w:eastAsia="仿宋" w:cs="Times New Roman"/>
              </w:rPr>
              <w:t>直立型</w:t>
            </w:r>
          </w:p>
        </w:tc>
        <w:tc>
          <w:tcPr>
            <w:tcW w:w="2706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</w:rPr>
            </w:pPr>
            <w:r>
              <w:rPr>
                <w:rFonts w:hint="default" w:ascii="Times New Roman" w:hAnsi="Times New Roman" w:eastAsia="仿宋" w:cs="Times New Roman"/>
              </w:rPr>
              <w:t>纺锤型</w:t>
            </w:r>
          </w:p>
        </w:tc>
        <w:tc>
          <w:tcPr>
            <w:tcW w:w="3426" w:type="dxa"/>
          </w:tcPr>
          <w:p>
            <w:pPr>
              <w:jc w:val="center"/>
              <w:rPr>
                <w:rFonts w:hint="default" w:ascii="Times New Roman" w:hAnsi="Times New Roman" w:eastAsia="仿宋" w:cs="Times New Roman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</w:rPr>
              <w:t>下垂型</w:t>
            </w:r>
          </w:p>
        </w:tc>
      </w:tr>
    </w:tbl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" w:cs="Times New Roman"/>
          <w:b/>
          <w:bCs/>
          <w:szCs w:val="21"/>
        </w:rPr>
        <w:t>图</w:t>
      </w:r>
      <w:r>
        <w:rPr>
          <w:rFonts w:hint="default" w:ascii="Times New Roman" w:hAnsi="Times New Roman" w:eastAsia="仿宋" w:cs="Times New Roman"/>
          <w:b/>
          <w:bCs/>
          <w:szCs w:val="21"/>
          <w:lang w:val="en-US" w:eastAsia="zh-CN"/>
        </w:rPr>
        <w:t>6</w:t>
      </w:r>
      <w:r>
        <w:rPr>
          <w:rFonts w:hint="default" w:ascii="Times New Roman" w:hAnsi="Times New Roman" w:eastAsia="仿宋" w:cs="Times New Roman"/>
          <w:b/>
          <w:bCs/>
          <w:szCs w:val="21"/>
        </w:rPr>
        <w:t>植株：株型</w:t>
      </w:r>
    </w:p>
    <w:p>
      <w:pPr>
        <w:rPr>
          <w:rFonts w:hint="default" w:ascii="Times New Roman" w:hAnsi="Times New Roman" w:cs="Times New Roman"/>
        </w:rPr>
      </w:pPr>
    </w:p>
    <w:p>
      <w:pPr>
        <w:snapToGrid w:val="0"/>
        <w:jc w:val="center"/>
        <w:rPr>
          <w:rFonts w:hint="default" w:ascii="Times New Roman" w:hAnsi="Times New Roman" w:eastAsia="黑体" w:cs="Times New Roman"/>
        </w:rPr>
      </w:pPr>
      <w:r>
        <w:rPr>
          <w:rFonts w:hint="default" w:ascii="Times New Roman" w:hAnsi="Times New Roman" w:eastAsia="黑体" w:cs="Times New Roman"/>
        </w:rPr>
        <w:t>表4油棕树供试材料测量植株性状分析</w:t>
      </w:r>
    </w:p>
    <w:tbl>
      <w:tblPr>
        <w:tblStyle w:val="3"/>
        <w:tblpPr w:leftFromText="180" w:rightFromText="180" w:vertAnchor="text" w:horzAnchor="page" w:tblpXSpec="center" w:tblpY="91"/>
        <w:tblOverlap w:val="never"/>
        <w:tblW w:w="90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8"/>
        <w:gridCol w:w="718"/>
        <w:gridCol w:w="1218"/>
        <w:gridCol w:w="1791"/>
        <w:gridCol w:w="779"/>
        <w:gridCol w:w="1269"/>
        <w:gridCol w:w="20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  <w:jc w:val="center"/>
        </w:trPr>
        <w:tc>
          <w:tcPr>
            <w:tcW w:w="123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性状</w:t>
            </w:r>
          </w:p>
        </w:tc>
        <w:tc>
          <w:tcPr>
            <w:tcW w:w="71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单位</w:t>
            </w:r>
          </w:p>
        </w:tc>
        <w:tc>
          <w:tcPr>
            <w:tcW w:w="121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评价分级</w:t>
            </w:r>
          </w:p>
        </w:tc>
        <w:tc>
          <w:tcPr>
            <w:tcW w:w="179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分级标准</w:t>
            </w:r>
          </w:p>
        </w:tc>
        <w:tc>
          <w:tcPr>
            <w:tcW w:w="77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  <w:lang w:eastAsia="zh-CN"/>
              </w:rPr>
              <w:t>株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数</w:t>
            </w:r>
          </w:p>
        </w:tc>
        <w:tc>
          <w:tcPr>
            <w:tcW w:w="126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百分比（%）</w:t>
            </w:r>
          </w:p>
        </w:tc>
        <w:tc>
          <w:tcPr>
            <w:tcW w:w="2063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参考品种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exact"/>
          <w:jc w:val="center"/>
        </w:trPr>
        <w:tc>
          <w:tcPr>
            <w:tcW w:w="1238" w:type="dxa"/>
            <w:vMerge w:val="restart"/>
          </w:tcPr>
          <w:p>
            <w:pPr>
              <w:spacing w:line="0" w:lineRule="atLeast"/>
              <w:ind w:firstLine="3"/>
              <w:rPr>
                <w:rFonts w:hint="default" w:ascii="Times New Roman" w:hAnsi="Times New Roman" w:eastAsia="仿宋" w:cs="Times New Roman"/>
                <w:spacing w:val="-15"/>
                <w:position w:val="6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pacing w:val="-15"/>
                <w:position w:val="6"/>
                <w:szCs w:val="21"/>
              </w:rPr>
              <w:t>植株：茎 高度（性状</w:t>
            </w:r>
            <w:r>
              <w:rPr>
                <w:rFonts w:hint="default" w:ascii="Times New Roman" w:hAnsi="Times New Roman" w:eastAsia="仿宋" w:cs="Times New Roman"/>
                <w:spacing w:val="-15"/>
                <w:position w:val="6"/>
                <w:szCs w:val="21"/>
              </w:rPr>
              <w:t>2）</w:t>
            </w:r>
          </w:p>
          <w:p>
            <w:pPr>
              <w:rPr>
                <w:rFonts w:hint="default" w:ascii="Times New Roman" w:hAnsi="Times New Roman" w:eastAsia="仿宋" w:cs="Times New Roman"/>
                <w:i/>
                <w:iCs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718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" w:cs="Times New Roman"/>
                <w:i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cm</w:t>
            </w: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矮</w:t>
            </w: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≤9</w:t>
            </w:r>
            <w:r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  <w:t>20</w:t>
            </w: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  <w:t>18.2</w:t>
            </w:r>
            <w:r>
              <w:rPr>
                <w:rFonts w:hint="default" w:ascii="Times New Roman" w:hAnsi="Times New Roman" w:eastAsia="仿宋" w:cs="Times New Roman"/>
                <w:szCs w:val="21"/>
              </w:rPr>
              <w:t>%</w:t>
            </w:r>
          </w:p>
        </w:tc>
        <w:tc>
          <w:tcPr>
            <w:tcW w:w="2063" w:type="dxa"/>
            <w:vAlign w:val="center"/>
          </w:tcPr>
          <w:p>
            <w:pPr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Deli Dura×AVROS Pisifera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exact"/>
          <w:jc w:val="center"/>
        </w:trPr>
        <w:tc>
          <w:tcPr>
            <w:tcW w:w="1238" w:type="dxa"/>
            <w:vMerge w:val="continue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718" w:type="dxa"/>
            <w:vMerge w:val="continue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eastAsia="zh-CN"/>
              </w:rPr>
              <w:t>矮到中</w:t>
            </w: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（9</w:t>
            </w:r>
            <w:r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  <w:t>0</w:t>
            </w:r>
            <w:r>
              <w:rPr>
                <w:rFonts w:hint="default" w:ascii="Times New Roman" w:hAnsi="Times New Roman" w:eastAsia="仿宋" w:cs="Times New Roman"/>
                <w:szCs w:val="21"/>
              </w:rPr>
              <w:t>,</w:t>
            </w:r>
            <w:r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  <w:t>95</w:t>
            </w:r>
            <w:r>
              <w:rPr>
                <w:rFonts w:hint="default" w:ascii="Times New Roman" w:hAnsi="Times New Roman" w:eastAsia="仿宋" w:cs="Times New Roman"/>
                <w:szCs w:val="21"/>
              </w:rPr>
              <w:t>）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  <w:t>25</w:t>
            </w: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  <w:t>22.7%</w:t>
            </w:r>
          </w:p>
        </w:tc>
        <w:tc>
          <w:tcPr>
            <w:tcW w:w="2063" w:type="dxa"/>
            <w:vAlign w:val="center"/>
          </w:tcPr>
          <w:p>
            <w:pPr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exact"/>
          <w:jc w:val="center"/>
        </w:trPr>
        <w:tc>
          <w:tcPr>
            <w:tcW w:w="123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71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中</w:t>
            </w: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（9</w:t>
            </w:r>
            <w:r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  <w:t>5</w:t>
            </w:r>
            <w:r>
              <w:rPr>
                <w:rFonts w:hint="default" w:ascii="Times New Roman" w:hAnsi="Times New Roman" w:eastAsia="仿宋" w:cs="Times New Roman"/>
                <w:szCs w:val="21"/>
              </w:rPr>
              <w:t>,10</w:t>
            </w:r>
            <w:r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  <w:t>0</w:t>
            </w:r>
            <w:r>
              <w:rPr>
                <w:rFonts w:hint="default" w:ascii="Times New Roman" w:hAnsi="Times New Roman" w:eastAsia="仿宋" w:cs="Times New Roman"/>
                <w:szCs w:val="21"/>
              </w:rPr>
              <w:t>）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  <w:t>39</w:t>
            </w: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  <w:t>35.5%</w:t>
            </w:r>
          </w:p>
        </w:tc>
        <w:tc>
          <w:tcPr>
            <w:tcW w:w="2063" w:type="dxa"/>
            <w:vAlign w:val="center"/>
          </w:tcPr>
          <w:p>
            <w:pPr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Bamenda×Ekona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exact"/>
          <w:jc w:val="center"/>
        </w:trPr>
        <w:tc>
          <w:tcPr>
            <w:tcW w:w="123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71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eastAsia="zh-CN"/>
              </w:rPr>
              <w:t>中到高</w:t>
            </w: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（</w:t>
            </w:r>
            <w:r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  <w:t>100</w:t>
            </w:r>
            <w:r>
              <w:rPr>
                <w:rFonts w:hint="default" w:ascii="Times New Roman" w:hAnsi="Times New Roman" w:eastAsia="仿宋" w:cs="Times New Roman"/>
                <w:szCs w:val="21"/>
              </w:rPr>
              <w:t>,105）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  <w:t>14</w:t>
            </w: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  <w:t>12.7%</w:t>
            </w:r>
          </w:p>
        </w:tc>
        <w:tc>
          <w:tcPr>
            <w:tcW w:w="2063" w:type="dxa"/>
            <w:vAlign w:val="center"/>
          </w:tcPr>
          <w:p>
            <w:pPr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exact"/>
          <w:jc w:val="center"/>
        </w:trPr>
        <w:tc>
          <w:tcPr>
            <w:tcW w:w="123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71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高</w:t>
            </w: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≥</w:t>
            </w:r>
            <w:r>
              <w:rPr>
                <w:rFonts w:hint="default" w:ascii="Times New Roman" w:hAnsi="Times New Roman" w:eastAsia="仿宋" w:cs="Times New Roman"/>
                <w:szCs w:val="21"/>
              </w:rPr>
              <w:t>105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1</w:t>
            </w:r>
            <w:r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  <w:t>2</w:t>
            </w: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1</w:t>
            </w:r>
            <w:r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  <w:t>0.9</w:t>
            </w:r>
            <w:r>
              <w:rPr>
                <w:rFonts w:hint="default" w:ascii="Times New Roman" w:hAnsi="Times New Roman" w:eastAsia="仿宋" w:cs="Times New Roman"/>
                <w:szCs w:val="21"/>
              </w:rPr>
              <w:t>%</w:t>
            </w:r>
          </w:p>
        </w:tc>
        <w:tc>
          <w:tcPr>
            <w:tcW w:w="2063" w:type="dxa"/>
            <w:vAlign w:val="center"/>
          </w:tcPr>
          <w:p>
            <w:pPr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Tanzania×Ekona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exact"/>
          <w:jc w:val="center"/>
        </w:trPr>
        <w:tc>
          <w:tcPr>
            <w:tcW w:w="1238" w:type="dxa"/>
            <w:vMerge w:val="restart"/>
            <w:vAlign w:val="center"/>
          </w:tcPr>
          <w:p>
            <w:pPr>
              <w:spacing w:line="0" w:lineRule="atLeast"/>
              <w:ind w:firstLine="3"/>
              <w:rPr>
                <w:rFonts w:hint="default" w:ascii="Times New Roman" w:hAnsi="Times New Roman" w:eastAsia="仿宋" w:cs="Times New Roman"/>
                <w:spacing w:val="-15"/>
                <w:position w:val="6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pacing w:val="-15"/>
                <w:position w:val="6"/>
                <w:szCs w:val="21"/>
              </w:rPr>
              <w:t>植株：树干围径（性状</w:t>
            </w:r>
            <w:r>
              <w:rPr>
                <w:rFonts w:hint="default" w:ascii="Times New Roman" w:hAnsi="Times New Roman" w:eastAsia="仿宋" w:cs="Times New Roman"/>
                <w:spacing w:val="-15"/>
                <w:position w:val="6"/>
                <w:szCs w:val="21"/>
              </w:rPr>
              <w:t>3）</w:t>
            </w: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718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cm</w:t>
            </w: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小</w:t>
            </w: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≤22</w:t>
            </w:r>
            <w:r>
              <w:rPr>
                <w:rFonts w:hint="default" w:ascii="Times New Roman" w:hAnsi="Times New Roman" w:eastAsia="仿宋" w:cs="Times New Roman"/>
                <w:szCs w:val="21"/>
                <w:lang w:val="en-US" w:eastAsia="zh-CN" w:bidi="ar"/>
              </w:rPr>
              <w:t>5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  <w:lang w:val="en-US" w:eastAsia="zh-CN"/>
              </w:rPr>
              <w:t>22</w:t>
            </w: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  <w:lang w:val="en-US" w:eastAsia="zh-CN"/>
              </w:rPr>
              <w:t>20.0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%</w:t>
            </w:r>
          </w:p>
        </w:tc>
        <w:tc>
          <w:tcPr>
            <w:tcW w:w="206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Tanzania×Ekona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exact"/>
          <w:jc w:val="center"/>
        </w:trPr>
        <w:tc>
          <w:tcPr>
            <w:tcW w:w="123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71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  <w:lang w:eastAsia="zh-CN"/>
              </w:rPr>
              <w:t>小到中</w:t>
            </w: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（22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  <w:lang w:val="en-US" w:eastAsia="zh-CN"/>
              </w:rPr>
              <w:t>5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,2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）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  <w:lang w:val="en-US" w:eastAsia="zh-CN"/>
              </w:rPr>
              <w:t>22</w:t>
            </w: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  <w:lang w:val="en-US" w:eastAsia="zh-CN"/>
              </w:rPr>
              <w:t>20.0%</w:t>
            </w:r>
          </w:p>
        </w:tc>
        <w:tc>
          <w:tcPr>
            <w:tcW w:w="206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  <w:jc w:val="center"/>
        </w:trPr>
        <w:tc>
          <w:tcPr>
            <w:tcW w:w="123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71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中</w:t>
            </w: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（2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,2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）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val="en-US" w:eastAsia="zh-CN" w:bidi="ar"/>
              </w:rPr>
              <w:t>30</w:t>
            </w: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  <w:lang w:val="en-US" w:eastAsia="zh-CN"/>
              </w:rPr>
              <w:t>27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.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%</w:t>
            </w:r>
          </w:p>
        </w:tc>
        <w:tc>
          <w:tcPr>
            <w:tcW w:w="206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Dura×Pisfera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  <w:jc w:val="center"/>
        </w:trPr>
        <w:tc>
          <w:tcPr>
            <w:tcW w:w="123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71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  <w:lang w:eastAsia="zh-CN"/>
              </w:rPr>
              <w:t>中到大</w:t>
            </w: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（2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,2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）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  <w:lang w:val="en-US" w:eastAsia="zh-CN"/>
              </w:rPr>
              <w:t>23</w:t>
            </w: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  <w:lang w:val="en-US" w:eastAsia="zh-CN"/>
              </w:rPr>
              <w:t>20.9%</w:t>
            </w:r>
          </w:p>
        </w:tc>
        <w:tc>
          <w:tcPr>
            <w:tcW w:w="206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exact"/>
          <w:jc w:val="center"/>
        </w:trPr>
        <w:tc>
          <w:tcPr>
            <w:tcW w:w="123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71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大</w:t>
            </w: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eastAsia="zh-CN"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bidi="ar"/>
              </w:rPr>
              <w:t>≥24</w:t>
            </w:r>
            <w:r>
              <w:rPr>
                <w:rFonts w:hint="default" w:ascii="Times New Roman" w:hAnsi="Times New Roman" w:eastAsia="仿宋" w:cs="Times New Roman"/>
                <w:szCs w:val="21"/>
                <w:lang w:val="en-US" w:eastAsia="zh-CN" w:bidi="ar"/>
              </w:rPr>
              <w:t>0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szCs w:val="21"/>
                <w:lang w:val="en-US" w:eastAsia="zh-CN" w:bidi="ar"/>
              </w:rPr>
              <w:t>13</w:t>
            </w: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11.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%</w:t>
            </w:r>
          </w:p>
        </w:tc>
        <w:tc>
          <w:tcPr>
            <w:tcW w:w="206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Deli×Nigeria</w:t>
            </w:r>
          </w:p>
        </w:tc>
      </w:tr>
    </w:tbl>
    <w:p>
      <w:pPr>
        <w:rPr>
          <w:rFonts w:hint="default" w:ascii="Times New Roman" w:hAnsi="Times New Roman" w:cs="Times New Roma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4"/>
        <w:tblpPr w:leftFromText="180" w:rightFromText="180" w:vertAnchor="text" w:horzAnchor="page" w:tblpXSpec="center" w:tblpY="616"/>
        <w:tblOverlap w:val="never"/>
        <w:tblW w:w="877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43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2" w:hRule="atLeast"/>
          <w:jc w:val="center"/>
        </w:trPr>
        <w:tc>
          <w:tcPr>
            <w:tcW w:w="4344" w:type="dxa"/>
          </w:tcPr>
          <w:p>
            <w:pPr>
              <w:spacing w:line="0" w:lineRule="atLeas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618740" cy="1551305"/>
                  <wp:effectExtent l="0" t="0" r="10160" b="10795"/>
                  <wp:docPr id="3" name="图表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  <w:tc>
          <w:tcPr>
            <w:tcW w:w="4434" w:type="dxa"/>
          </w:tcPr>
          <w:p>
            <w:pPr>
              <w:spacing w:line="0" w:lineRule="atLeas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673985" cy="1539875"/>
                  <wp:effectExtent l="0" t="0" r="12065" b="3175"/>
                  <wp:docPr id="6" name="图表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</w:tr>
    </w:tbl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</w:p>
    <w:p>
      <w:pPr>
        <w:spacing w:line="480" w:lineRule="exact"/>
        <w:jc w:val="center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szCs w:val="21"/>
        </w:rPr>
        <w:t>图</w:t>
      </w:r>
      <w:r>
        <w:rPr>
          <w:rFonts w:hint="default" w:ascii="Times New Roman" w:hAnsi="Times New Roman" w:eastAsia="仿宋" w:cs="Times New Roman"/>
          <w:b/>
          <w:szCs w:val="21"/>
          <w:lang w:val="en-US" w:eastAsia="zh-CN"/>
        </w:rPr>
        <w:t>7</w:t>
      </w:r>
      <w:r>
        <w:rPr>
          <w:rFonts w:hint="default" w:ascii="Times New Roman" w:hAnsi="Times New Roman" w:eastAsia="仿宋" w:cs="Times New Roman"/>
          <w:b/>
          <w:szCs w:val="21"/>
        </w:rPr>
        <w:t>油棕树供试材料测量植株性状分析图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（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）油棕树叶片性状图示多样性分析</w:t>
      </w:r>
    </w:p>
    <w:p>
      <w:pPr>
        <w:ind w:firstLine="560" w:firstLineChars="200"/>
        <w:rPr>
          <w:rFonts w:hint="default" w:ascii="Times New Roman" w:hAnsi="Times New Roman" w:eastAsia="仿宋" w:cs="Times New Roman"/>
          <w:spacing w:val="-3"/>
          <w:sz w:val="28"/>
          <w:szCs w:val="28"/>
        </w:rPr>
      </w:pPr>
      <w:r>
        <w:rPr>
          <w:rFonts w:hint="default" w:ascii="Times New Roman" w:hAnsi="Times New Roman" w:eastAsia="仿宋" w:cs="Times New Roman"/>
          <w:sz w:val="28"/>
          <w:szCs w:val="28"/>
        </w:rPr>
        <w:t>从图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8</w:t>
      </w:r>
      <w:r>
        <w:rPr>
          <w:rFonts w:hint="default" w:ascii="Times New Roman" w:hAnsi="Times New Roman" w:eastAsia="仿宋" w:cs="Times New Roman"/>
          <w:sz w:val="28"/>
          <w:szCs w:val="28"/>
        </w:rPr>
        <w:t>可见叶柄颜色的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</w:rPr>
        <w:t>分类，分为绿色、褐绿色、褐色三类；</w:t>
      </w:r>
      <w:r>
        <w:rPr>
          <w:rFonts w:hint="default" w:ascii="Times New Roman" w:hAnsi="Times New Roman" w:eastAsia="仿宋" w:cs="Times New Roman"/>
          <w:sz w:val="28"/>
          <w:szCs w:val="28"/>
        </w:rPr>
        <w:t>从图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9目测</w:t>
      </w:r>
      <w:r>
        <w:rPr>
          <w:rFonts w:hint="default" w:ascii="Times New Roman" w:hAnsi="Times New Roman" w:eastAsia="仿宋" w:cs="Times New Roman"/>
          <w:sz w:val="28"/>
          <w:szCs w:val="28"/>
        </w:rPr>
        <w:t>可见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</w:rPr>
        <w:t>叶柄刺密度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  <w:lang w:eastAsia="zh-CN"/>
        </w:rPr>
        <w:t>稀疏</w:t>
      </w:r>
      <w:r>
        <w:rPr>
          <w:rFonts w:hint="default" w:ascii="Times New Roman" w:hAnsi="Times New Roman" w:eastAsia="仿宋" w:cs="Times New Roman"/>
          <w:sz w:val="28"/>
          <w:szCs w:val="28"/>
          <w:lang w:eastAsia="zh-CN"/>
        </w:rPr>
        <w:t>程度进行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</w:rPr>
        <w:t>分类，分为稀、中、密三类。</w:t>
      </w:r>
    </w:p>
    <w:tbl>
      <w:tblPr>
        <w:tblStyle w:val="4"/>
        <w:tblW w:w="85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</w:tcPr>
          <w:p>
            <w:pPr>
              <w:spacing w:line="360" w:lineRule="auto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4"/>
                <w:szCs w:val="21"/>
              </w:rPr>
              <w:drawing>
                <wp:inline distT="0" distB="0" distL="114300" distR="114300">
                  <wp:extent cx="1682115" cy="2404745"/>
                  <wp:effectExtent l="0" t="0" r="13335" b="14605"/>
                  <wp:docPr id="27" name="图片 27" descr="DSC_7070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SC_7070副本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240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spacing w:line="360" w:lineRule="auto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4"/>
                <w:szCs w:val="21"/>
              </w:rPr>
              <w:drawing>
                <wp:inline distT="0" distB="0" distL="114300" distR="114300">
                  <wp:extent cx="1677035" cy="2397125"/>
                  <wp:effectExtent l="0" t="0" r="18415" b="3175"/>
                  <wp:docPr id="28" name="图片 28" descr="DSC_7076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SC_7076副本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239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spacing w:line="360" w:lineRule="auto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4"/>
                <w:szCs w:val="21"/>
              </w:rPr>
              <w:drawing>
                <wp:inline distT="0" distB="0" distL="114300" distR="114300">
                  <wp:extent cx="1682750" cy="2404110"/>
                  <wp:effectExtent l="0" t="0" r="12700" b="15240"/>
                  <wp:docPr id="26" name="图片 26" descr="DSC_7080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SC_7080副本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240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  <w:t>绿色</w:t>
            </w:r>
          </w:p>
        </w:tc>
        <w:tc>
          <w:tcPr>
            <w:tcW w:w="2841" w:type="dxa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  <w:t>褐绿色</w:t>
            </w:r>
          </w:p>
        </w:tc>
        <w:tc>
          <w:tcPr>
            <w:tcW w:w="2841" w:type="dxa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  <w:t>褐色</w:t>
            </w:r>
          </w:p>
        </w:tc>
      </w:tr>
    </w:tbl>
    <w:p>
      <w:pPr>
        <w:ind w:firstLine="410" w:firstLineChars="200"/>
        <w:jc w:val="center"/>
        <w:rPr>
          <w:rFonts w:hint="default" w:ascii="Times New Roman" w:hAnsi="Times New Roman" w:cs="Times New Roman" w:eastAsiaTheme="majorEastAsia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仿宋" w:cs="Times New Roman"/>
          <w:b/>
          <w:bCs/>
          <w:spacing w:val="-3"/>
          <w:szCs w:val="21"/>
        </w:rPr>
        <w:t>图</w:t>
      </w:r>
      <w:r>
        <w:rPr>
          <w:rFonts w:hint="default" w:ascii="Times New Roman" w:hAnsi="Times New Roman" w:eastAsia="仿宋" w:cs="Times New Roman"/>
          <w:b/>
          <w:bCs/>
          <w:spacing w:val="-3"/>
          <w:szCs w:val="21"/>
          <w:lang w:val="en-US" w:eastAsia="zh-CN"/>
        </w:rPr>
        <w:t>8</w:t>
      </w:r>
      <w:r>
        <w:rPr>
          <w:rFonts w:hint="default" w:ascii="Times New Roman" w:hAnsi="Times New Roman" w:eastAsia="仿宋" w:cs="Times New Roman"/>
          <w:b/>
          <w:bCs/>
          <w:spacing w:val="-3"/>
          <w:szCs w:val="21"/>
        </w:rPr>
        <w:t>叶：叶柄颜色</w:t>
      </w:r>
    </w:p>
    <w:tbl>
      <w:tblPr>
        <w:tblStyle w:val="4"/>
        <w:tblW w:w="85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6" w:hRule="atLeast"/>
          <w:jc w:val="center"/>
        </w:trPr>
        <w:tc>
          <w:tcPr>
            <w:tcW w:w="2840" w:type="dxa"/>
          </w:tcPr>
          <w:p>
            <w:pPr>
              <w:spacing w:line="360" w:lineRule="auto"/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4"/>
                <w:szCs w:val="21"/>
              </w:rPr>
              <w:drawing>
                <wp:inline distT="0" distB="0" distL="114300" distR="114300">
                  <wp:extent cx="1677035" cy="2397125"/>
                  <wp:effectExtent l="0" t="0" r="18415" b="3175"/>
                  <wp:docPr id="8" name="图片 8" descr="DSC_7076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SC_7076副本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239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spacing w:line="360" w:lineRule="auto"/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4"/>
                <w:szCs w:val="21"/>
              </w:rPr>
              <w:drawing>
                <wp:inline distT="0" distB="0" distL="114300" distR="114300">
                  <wp:extent cx="1682115" cy="2404745"/>
                  <wp:effectExtent l="0" t="0" r="13335" b="14605"/>
                  <wp:docPr id="20" name="图片 20" descr="DSC_7070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SC_7070副本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240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spacing w:line="360" w:lineRule="auto"/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4"/>
                <w:szCs w:val="21"/>
              </w:rPr>
              <w:drawing>
                <wp:inline distT="0" distB="0" distL="114300" distR="114300">
                  <wp:extent cx="1682750" cy="2404110"/>
                  <wp:effectExtent l="0" t="0" r="12700" b="15240"/>
                  <wp:docPr id="21" name="图片 21" descr="DSC_7080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SC_7080副本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240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  <w:jc w:val="center"/>
        </w:trPr>
        <w:tc>
          <w:tcPr>
            <w:tcW w:w="2840" w:type="dxa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  <w:t>稀</w:t>
            </w:r>
          </w:p>
        </w:tc>
        <w:tc>
          <w:tcPr>
            <w:tcW w:w="2841" w:type="dxa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  <w:t>中</w:t>
            </w:r>
          </w:p>
        </w:tc>
        <w:tc>
          <w:tcPr>
            <w:tcW w:w="2841" w:type="dxa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  <w:t>密</w:t>
            </w:r>
          </w:p>
        </w:tc>
      </w:tr>
    </w:tbl>
    <w:p>
      <w:pPr>
        <w:jc w:val="center"/>
        <w:rPr>
          <w:rFonts w:hint="default" w:ascii="Times New Roman" w:hAnsi="Times New Roman" w:cs="Times New Roma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仿宋" w:cs="Times New Roman"/>
          <w:b/>
          <w:bCs/>
          <w:spacing w:val="-3"/>
          <w:szCs w:val="21"/>
        </w:rPr>
        <w:t>图</w:t>
      </w:r>
      <w:r>
        <w:rPr>
          <w:rFonts w:hint="default" w:ascii="Times New Roman" w:hAnsi="Times New Roman" w:eastAsia="仿宋" w:cs="Times New Roman"/>
          <w:b/>
          <w:bCs/>
          <w:spacing w:val="-3"/>
          <w:szCs w:val="21"/>
          <w:lang w:val="en-US" w:eastAsia="zh-CN"/>
        </w:rPr>
        <w:t>9</w:t>
      </w:r>
      <w:r>
        <w:rPr>
          <w:rFonts w:hint="default" w:ascii="Times New Roman" w:hAnsi="Times New Roman" w:eastAsia="仿宋" w:cs="Times New Roman"/>
          <w:b/>
          <w:bCs/>
          <w:spacing w:val="-3"/>
          <w:szCs w:val="21"/>
        </w:rPr>
        <w:t>叶：叶柄刺密度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（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）油棕树果穗性状多样性分析</w:t>
      </w:r>
    </w:p>
    <w:p>
      <w:pPr>
        <w:ind w:firstLine="560" w:firstLineChars="200"/>
        <w:rPr>
          <w:rFonts w:hint="default" w:ascii="Times New Roman" w:hAnsi="Times New Roman" w:eastAsia="仿宋" w:cs="Times New Roman"/>
          <w:bCs/>
          <w:sz w:val="28"/>
          <w:szCs w:val="28"/>
        </w:rPr>
      </w:pPr>
      <w:r>
        <w:rPr>
          <w:rFonts w:hint="default" w:ascii="Times New Roman" w:hAnsi="Times New Roman" w:eastAsia="仿宋" w:cs="Times New Roman"/>
          <w:bCs/>
          <w:sz w:val="28"/>
          <w:szCs w:val="28"/>
        </w:rPr>
        <w:t>由表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和图1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0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可见，果穗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: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柄长度分为短、中、长三类，分别占种质数量的94.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%、4.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%、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1.0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%；果穗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: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eastAsia="zh-CN"/>
        </w:rPr>
        <w:t>刺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长度分为短、中、长三类，分别占种质数量的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31.8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%、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65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.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%、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2.7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%；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果穗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重量分为轻、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轻到中、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中、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中到重、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重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类，分别占种质数量的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17.3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，20.9%，30.0%，19.1%，12.7%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；果穗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含油率的等级分为低、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低到中、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中、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中到高、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高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个等级，分别占种质数量的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0.0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%，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22.7%，30.0%，24.5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%，1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%；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果穗刺长度有短、中、长三个表达状态，短的占3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1.8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%，中的占65.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%，长的占种质数量的较少，只占了2.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7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%。</w:t>
      </w:r>
    </w:p>
    <w:p>
      <w:pPr>
        <w:snapToGrid w:val="0"/>
        <w:spacing w:before="163" w:beforeLines="50"/>
        <w:jc w:val="center"/>
        <w:rPr>
          <w:rFonts w:hint="default" w:ascii="Times New Roman" w:hAnsi="Times New Roman" w:eastAsia="黑体" w:cs="Times New Roman"/>
        </w:rPr>
      </w:pPr>
      <w:r>
        <w:rPr>
          <w:rFonts w:hint="default" w:ascii="Times New Roman" w:hAnsi="Times New Roman" w:eastAsia="黑体" w:cs="Times New Roman"/>
        </w:rPr>
        <w:t>表</w:t>
      </w:r>
      <w:r>
        <w:rPr>
          <w:rFonts w:hint="default" w:ascii="Times New Roman" w:hAnsi="Times New Roman" w:eastAsia="黑体" w:cs="Times New Roman"/>
          <w:lang w:val="en-US" w:eastAsia="zh-CN"/>
        </w:rPr>
        <w:t>5</w:t>
      </w:r>
      <w:r>
        <w:rPr>
          <w:rFonts w:hint="default" w:ascii="Times New Roman" w:hAnsi="Times New Roman" w:eastAsia="黑体" w:cs="Times New Roman"/>
        </w:rPr>
        <w:t>油棕树供试材料测量果穗性状分析</w:t>
      </w:r>
    </w:p>
    <w:tbl>
      <w:tblPr>
        <w:tblStyle w:val="3"/>
        <w:tblW w:w="935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3"/>
        <w:gridCol w:w="614"/>
        <w:gridCol w:w="1269"/>
        <w:gridCol w:w="1754"/>
        <w:gridCol w:w="1023"/>
        <w:gridCol w:w="1289"/>
        <w:gridCol w:w="19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  <w:jc w:val="center"/>
        </w:trPr>
        <w:tc>
          <w:tcPr>
            <w:tcW w:w="1473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性状</w:t>
            </w:r>
          </w:p>
        </w:tc>
        <w:tc>
          <w:tcPr>
            <w:tcW w:w="614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单位</w:t>
            </w:r>
          </w:p>
        </w:tc>
        <w:tc>
          <w:tcPr>
            <w:tcW w:w="126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评价分级</w:t>
            </w:r>
          </w:p>
        </w:tc>
        <w:tc>
          <w:tcPr>
            <w:tcW w:w="1754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分级标准</w:t>
            </w:r>
          </w:p>
        </w:tc>
        <w:tc>
          <w:tcPr>
            <w:tcW w:w="1023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  <w:lang w:eastAsia="zh-CN"/>
              </w:rPr>
              <w:t>株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数</w:t>
            </w:r>
          </w:p>
        </w:tc>
        <w:tc>
          <w:tcPr>
            <w:tcW w:w="128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百分比（%）</w:t>
            </w:r>
          </w:p>
        </w:tc>
        <w:tc>
          <w:tcPr>
            <w:tcW w:w="192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参考品种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1473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Cs w:val="21"/>
              </w:rPr>
              <w:t>果穗</w:t>
            </w: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Cs w:val="21"/>
                <w:lang w:eastAsia="zh-CN"/>
              </w:rPr>
              <w:t>：</w:t>
            </w: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Cs w:val="21"/>
              </w:rPr>
              <w:t>柄长度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（性状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）</w:t>
            </w:r>
          </w:p>
        </w:tc>
        <w:tc>
          <w:tcPr>
            <w:tcW w:w="614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Cs w:val="21"/>
              </w:rPr>
              <w:t xml:space="preserve"> cm</w:t>
            </w:r>
          </w:p>
          <w:p>
            <w:pPr>
              <w:jc w:val="center"/>
              <w:rPr>
                <w:rFonts w:hint="default" w:ascii="Times New Roman" w:hAnsi="Times New Roman" w:cs="Times New Roman"/>
                <w:iCs/>
                <w:szCs w:val="21"/>
              </w:rPr>
            </w:pP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短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bidi="ar"/>
              </w:rPr>
              <w:t>≤15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Cs/>
                <w:szCs w:val="21"/>
                <w:lang w:val="en-US" w:eastAsia="zh-CN"/>
              </w:rPr>
              <w:t>104</w:t>
            </w:r>
          </w:p>
        </w:tc>
        <w:tc>
          <w:tcPr>
            <w:tcW w:w="128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Cs w:val="21"/>
                <w:lang w:val="en-US" w:eastAsia="zh-CN"/>
              </w:rPr>
              <w:t>94.5</w:t>
            </w:r>
            <w:r>
              <w:rPr>
                <w:rFonts w:hint="default" w:ascii="Times New Roman" w:hAnsi="Times New Roman" w:cs="Times New Roman"/>
                <w:iCs/>
                <w:szCs w:val="21"/>
              </w:rPr>
              <w:t>%</w:t>
            </w:r>
          </w:p>
        </w:tc>
        <w:tc>
          <w:tcPr>
            <w:tcW w:w="192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1473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61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Cs w:val="21"/>
              </w:rPr>
            </w:pP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中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bidi="ar"/>
              </w:rPr>
              <w:t>（15,30）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Cs/>
                <w:szCs w:val="21"/>
                <w:lang w:val="en-US" w:eastAsia="zh-CN"/>
              </w:rPr>
              <w:t>5</w:t>
            </w:r>
          </w:p>
        </w:tc>
        <w:tc>
          <w:tcPr>
            <w:tcW w:w="128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Cs w:val="21"/>
              </w:rPr>
              <w:t>4.</w:t>
            </w:r>
            <w:r>
              <w:rPr>
                <w:rFonts w:hint="default" w:ascii="Times New Roman" w:hAnsi="Times New Roman" w:cs="Times New Roman"/>
                <w:iCs/>
                <w:szCs w:val="21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iCs/>
                <w:szCs w:val="21"/>
              </w:rPr>
              <w:t>%</w:t>
            </w:r>
          </w:p>
        </w:tc>
        <w:tc>
          <w:tcPr>
            <w:tcW w:w="192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Deli×Nigeria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exact"/>
          <w:jc w:val="center"/>
        </w:trPr>
        <w:tc>
          <w:tcPr>
            <w:tcW w:w="1473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61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Cs w:val="21"/>
              </w:rPr>
            </w:pP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长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bidi="ar"/>
              </w:rPr>
              <w:t>≥30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Cs w:val="21"/>
              </w:rPr>
              <w:t>1</w:t>
            </w:r>
          </w:p>
        </w:tc>
        <w:tc>
          <w:tcPr>
            <w:tcW w:w="128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Cs w:val="21"/>
                <w:lang w:val="en-US" w:eastAsia="zh-CN"/>
              </w:rPr>
              <w:t>1.0</w:t>
            </w:r>
            <w:r>
              <w:rPr>
                <w:rFonts w:hint="default" w:ascii="Times New Roman" w:hAnsi="Times New Roman" w:cs="Times New Roman"/>
                <w:iCs/>
                <w:szCs w:val="21"/>
              </w:rPr>
              <w:t>%</w:t>
            </w:r>
          </w:p>
        </w:tc>
        <w:tc>
          <w:tcPr>
            <w:tcW w:w="192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1473" w:type="dxa"/>
            <w:vMerge w:val="restart"/>
            <w:vAlign w:val="center"/>
          </w:tcPr>
          <w:p>
            <w:pPr>
              <w:spacing w:line="0" w:lineRule="atLeast"/>
              <w:ind w:firstLine="14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Cs w:val="21"/>
              </w:rPr>
              <w:t>果穗</w:t>
            </w: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Cs w:val="21"/>
                <w:lang w:eastAsia="zh-CN"/>
              </w:rPr>
              <w:t>：</w:t>
            </w: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Cs w:val="21"/>
              </w:rPr>
              <w:t>刺长度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（性状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  <w:lang w:val="en-US" w:eastAsia="zh-CN"/>
              </w:rPr>
              <w:t>7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）</w:t>
            </w: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614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Cs w:val="21"/>
                <w:lang w:val="en-US" w:eastAsia="zh-CN"/>
              </w:rPr>
              <w:t>m</w:t>
            </w:r>
            <w:r>
              <w:rPr>
                <w:rFonts w:hint="default" w:ascii="Times New Roman" w:hAnsi="Times New Roman" w:cs="Times New Roman"/>
                <w:iCs/>
                <w:szCs w:val="21"/>
              </w:rPr>
              <w:t>m</w:t>
            </w:r>
          </w:p>
          <w:p>
            <w:pPr>
              <w:jc w:val="center"/>
              <w:rPr>
                <w:rFonts w:hint="default" w:ascii="Times New Roman" w:hAnsi="Times New Roman" w:cs="Times New Roman"/>
                <w:iCs/>
                <w:szCs w:val="21"/>
              </w:rPr>
            </w:pP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短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bidi="ar"/>
              </w:rPr>
              <w:t>≤30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3</w:t>
            </w:r>
            <w:r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  <w:t>5</w:t>
            </w:r>
          </w:p>
        </w:tc>
        <w:tc>
          <w:tcPr>
            <w:tcW w:w="128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3</w:t>
            </w:r>
            <w:r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  <w:t>1.8</w:t>
            </w: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%</w:t>
            </w:r>
          </w:p>
        </w:tc>
        <w:tc>
          <w:tcPr>
            <w:tcW w:w="192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1473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61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Cs w:val="21"/>
              </w:rPr>
            </w:pP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中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bidi="ar"/>
              </w:rPr>
              <w:t>（30,60）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  <w:t>72</w:t>
            </w:r>
          </w:p>
        </w:tc>
        <w:tc>
          <w:tcPr>
            <w:tcW w:w="128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65</w:t>
            </w:r>
            <w:r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  <w:t>.5</w:t>
            </w: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%</w:t>
            </w:r>
          </w:p>
        </w:tc>
        <w:tc>
          <w:tcPr>
            <w:tcW w:w="192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Tanzania×Ekona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1473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61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Cs w:val="21"/>
              </w:rPr>
            </w:pP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长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bidi="ar"/>
              </w:rPr>
              <w:t>≥60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  <w:t>3</w:t>
            </w:r>
          </w:p>
        </w:tc>
        <w:tc>
          <w:tcPr>
            <w:tcW w:w="128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2.</w:t>
            </w:r>
            <w:r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%</w:t>
            </w:r>
          </w:p>
        </w:tc>
        <w:tc>
          <w:tcPr>
            <w:tcW w:w="192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exact"/>
          <w:jc w:val="center"/>
        </w:trPr>
        <w:tc>
          <w:tcPr>
            <w:tcW w:w="1473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果穗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Cs w:val="21"/>
                <w14:textFill>
                  <w14:solidFill>
                    <w14:schemeClr w14:val="tx1"/>
                  </w14:solidFill>
                </w14:textFill>
              </w:rPr>
              <w:t>重量</w:t>
            </w: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（性状</w:t>
            </w: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4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kg</w:t>
            </w:r>
          </w:p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轻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≤1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28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17.3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192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Dura×Pisfera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exact"/>
          <w:jc w:val="center"/>
        </w:trPr>
        <w:tc>
          <w:tcPr>
            <w:tcW w:w="1473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轻到中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（1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28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20.9%</w:t>
            </w:r>
          </w:p>
        </w:tc>
        <w:tc>
          <w:tcPr>
            <w:tcW w:w="192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1473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中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（15,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128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30.0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192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Bamenda×Ekona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1473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中到重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,2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28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19.1%</w:t>
            </w:r>
          </w:p>
        </w:tc>
        <w:tc>
          <w:tcPr>
            <w:tcW w:w="192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1473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重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≥2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28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12.7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192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Deli×Nigeria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1473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Cs w:val="21"/>
                <w14:textFill>
                  <w14:solidFill>
                    <w14:schemeClr w14:val="tx1"/>
                  </w14:solidFill>
                </w14:textFill>
              </w:rPr>
              <w:t>果穗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出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Cs w:val="21"/>
                <w14:textFill>
                  <w14:solidFill>
                    <w14:schemeClr w14:val="tx1"/>
                  </w14:solidFill>
                </w14:textFill>
              </w:rPr>
              <w:t>油率（性状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4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≤2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28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10.0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192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Dura×Pisfera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1473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低到中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（2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,2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28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22.7%</w:t>
            </w:r>
          </w:p>
        </w:tc>
        <w:tc>
          <w:tcPr>
            <w:tcW w:w="192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1473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中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（2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,25）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128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30.0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192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Bamenda×Ekona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1473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中到高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（2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,2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28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24.5%</w:t>
            </w:r>
          </w:p>
        </w:tc>
        <w:tc>
          <w:tcPr>
            <w:tcW w:w="192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1473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高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≥2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8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12.8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192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Deli Dura×AVROS Pisifera</w:t>
            </w:r>
          </w:p>
        </w:tc>
      </w:tr>
    </w:tbl>
    <w:p>
      <w:pPr>
        <w:rPr>
          <w:rFonts w:hint="default" w:ascii="Times New Roman" w:hAnsi="Times New Roman" w:eastAsia="仿宋" w:cs="Times New Roman"/>
          <w:b/>
          <w:bCs/>
          <w:sz w:val="32"/>
          <w:szCs w:val="32"/>
        </w:rPr>
      </w:pPr>
    </w:p>
    <w:tbl>
      <w:tblPr>
        <w:tblStyle w:val="4"/>
        <w:tblpPr w:leftFromText="180" w:rightFromText="180" w:vertAnchor="text" w:horzAnchor="page" w:tblpX="1381" w:tblpY="148"/>
        <w:tblOverlap w:val="never"/>
        <w:tblW w:w="928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4"/>
        <w:gridCol w:w="46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pacing w:val="-14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809875" cy="1606550"/>
                  <wp:effectExtent l="0" t="0" r="9525" b="12700"/>
                  <wp:docPr id="69" name="图表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pacing w:val="-14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809875" cy="1622425"/>
                  <wp:effectExtent l="0" t="0" r="9525" b="15875"/>
                  <wp:docPr id="70" name="图表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pacing w:val="-14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809875" cy="1593850"/>
                  <wp:effectExtent l="0" t="0" r="9525" b="6350"/>
                  <wp:docPr id="9" name="图表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pacing w:val="-14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809875" cy="1605280"/>
                  <wp:effectExtent l="0" t="0" r="9525" b="13970"/>
                  <wp:docPr id="14" name="图表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 w:ascii="Times New Roman" w:hAnsi="Times New Roman" w:eastAsia="仿宋" w:cs="Times New Roman"/>
          <w:b/>
          <w:szCs w:val="21"/>
        </w:rPr>
      </w:pPr>
    </w:p>
    <w:p>
      <w:pPr>
        <w:jc w:val="center"/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仿宋" w:cs="Times New Roman"/>
          <w:b/>
          <w:szCs w:val="21"/>
        </w:rPr>
        <w:t>图1</w:t>
      </w:r>
      <w:r>
        <w:rPr>
          <w:rFonts w:hint="default" w:ascii="Times New Roman" w:hAnsi="Times New Roman" w:eastAsia="仿宋" w:cs="Times New Roman"/>
          <w:b/>
          <w:szCs w:val="21"/>
          <w:lang w:val="en-US" w:eastAsia="zh-CN"/>
        </w:rPr>
        <w:t xml:space="preserve">0 </w:t>
      </w:r>
      <w:r>
        <w:rPr>
          <w:rFonts w:hint="default" w:ascii="Times New Roman" w:hAnsi="Times New Roman" w:eastAsia="仿宋" w:cs="Times New Roman"/>
          <w:b/>
          <w:szCs w:val="21"/>
        </w:rPr>
        <w:t>油棕树供试材料测量果穗性状分析</w:t>
      </w:r>
      <w:r>
        <w:rPr>
          <w:rFonts w:hint="default" w:ascii="Times New Roman" w:hAnsi="Times New Roman" w:eastAsia="仿宋" w:cs="Times New Roman"/>
          <w:b/>
          <w:szCs w:val="21"/>
          <w:lang w:eastAsia="zh-CN"/>
        </w:rPr>
        <w:t>图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（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）油棕树果穗性状图示多样性分析</w:t>
      </w:r>
    </w:p>
    <w:p>
      <w:pPr>
        <w:ind w:firstLine="560" w:firstLineChars="200"/>
        <w:rPr>
          <w:rFonts w:hint="default" w:ascii="Times New Roman" w:hAnsi="Times New Roman" w:eastAsia="仿宋" w:cs="Times New Roman"/>
          <w:b/>
          <w:bCs/>
          <w:spacing w:val="-3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28"/>
          <w:szCs w:val="28"/>
        </w:rPr>
        <w:t>图1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</w:rPr>
        <w:t>果穗：刺密度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  <w:lang w:eastAsia="zh-CN"/>
        </w:rPr>
        <w:t>，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</w:rPr>
        <w:t>观测</w:t>
      </w:r>
      <w:r>
        <w:rPr>
          <w:rFonts w:hint="default" w:ascii="Times New Roman" w:hAnsi="Times New Roman" w:eastAsia="仿宋" w:cs="Times New Roman"/>
          <w:sz w:val="28"/>
          <w:szCs w:val="28"/>
        </w:rPr>
        <w:t>油棕果穗外表的刺密度分为稀、 中和密三类。</w:t>
      </w:r>
    </w:p>
    <w:tbl>
      <w:tblPr>
        <w:tblStyle w:val="4"/>
        <w:tblW w:w="85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6"/>
        <w:gridCol w:w="2548"/>
        <w:gridCol w:w="25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26" w:type="dxa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spacing w:val="1"/>
                <w:sz w:val="22"/>
                <w:szCs w:val="22"/>
              </w:rPr>
              <w:drawing>
                <wp:inline distT="0" distB="0" distL="114300" distR="114300">
                  <wp:extent cx="2037080" cy="2037080"/>
                  <wp:effectExtent l="0" t="0" r="1270" b="1270"/>
                  <wp:docPr id="39" name="图片 39" descr="DSC_7301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DSC_7301副本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80" cy="203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2"/>
                <w:szCs w:val="22"/>
              </w:rPr>
              <w:drawing>
                <wp:inline distT="0" distB="0" distL="114300" distR="114300">
                  <wp:extent cx="1424305" cy="2037080"/>
                  <wp:effectExtent l="0" t="0" r="4445" b="1270"/>
                  <wp:docPr id="41" name="图片 41" descr="DSC_7291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DSC_7291副本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203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2"/>
                <w:szCs w:val="22"/>
              </w:rPr>
              <w:drawing>
                <wp:inline distT="0" distB="0" distL="114300" distR="114300">
                  <wp:extent cx="1425575" cy="2037080"/>
                  <wp:effectExtent l="0" t="0" r="3175" b="1270"/>
                  <wp:docPr id="42" name="图片 42" descr="DSC_7278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DSC_7278副本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203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426" w:type="dxa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  <w:t>稀</w:t>
            </w:r>
          </w:p>
        </w:tc>
        <w:tc>
          <w:tcPr>
            <w:tcW w:w="2548" w:type="dxa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  <w:t>中</w:t>
            </w:r>
          </w:p>
        </w:tc>
        <w:tc>
          <w:tcPr>
            <w:tcW w:w="2548" w:type="dxa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  <w:t>密</w:t>
            </w:r>
          </w:p>
        </w:tc>
      </w:tr>
    </w:tbl>
    <w:p>
      <w:pPr>
        <w:jc w:val="center"/>
        <w:rPr>
          <w:rFonts w:hint="default" w:ascii="Times New Roman" w:hAnsi="Times New Roman" w:eastAsia="仿宋" w:cs="Times New Roman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仿宋" w:cs="Times New Roman"/>
          <w:b/>
          <w:bCs/>
          <w:spacing w:val="-3"/>
          <w:szCs w:val="21"/>
        </w:rPr>
        <w:t>图1</w:t>
      </w:r>
      <w:r>
        <w:rPr>
          <w:rFonts w:hint="default" w:ascii="Times New Roman" w:hAnsi="Times New Roman" w:eastAsia="仿宋" w:cs="Times New Roman"/>
          <w:b/>
          <w:bCs/>
          <w:spacing w:val="-3"/>
          <w:szCs w:val="21"/>
          <w:lang w:val="en-US" w:eastAsia="zh-CN"/>
        </w:rPr>
        <w:t xml:space="preserve">1 </w:t>
      </w:r>
      <w:r>
        <w:rPr>
          <w:rFonts w:hint="default" w:ascii="Times New Roman" w:hAnsi="Times New Roman" w:eastAsia="仿宋" w:cs="Times New Roman"/>
          <w:b/>
          <w:bCs/>
          <w:spacing w:val="-3"/>
          <w:szCs w:val="21"/>
        </w:rPr>
        <w:t>果穗</w:t>
      </w:r>
      <w:r>
        <w:rPr>
          <w:rFonts w:hint="default" w:ascii="Times New Roman" w:hAnsi="Times New Roman" w:eastAsia="仿宋" w:cs="Times New Roman"/>
          <w:b/>
          <w:bCs/>
          <w:spacing w:val="-3"/>
          <w:szCs w:val="21"/>
          <w:lang w:eastAsia="zh-CN"/>
        </w:rPr>
        <w:t>：</w:t>
      </w:r>
      <w:r>
        <w:rPr>
          <w:rFonts w:hint="default" w:ascii="Times New Roman" w:hAnsi="Times New Roman" w:eastAsia="仿宋" w:cs="Times New Roman"/>
          <w:b/>
          <w:bCs/>
          <w:spacing w:val="-3"/>
          <w:szCs w:val="21"/>
        </w:rPr>
        <w:t>刺密度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（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）油棕树果实性状表型多样性分析</w:t>
      </w:r>
    </w:p>
    <w:p>
      <w:pPr>
        <w:spacing w:line="360" w:lineRule="auto"/>
        <w:ind w:firstLine="560" w:firstLineChars="200"/>
        <w:rPr>
          <w:rFonts w:hint="default" w:ascii="Times New Roman" w:hAnsi="Times New Roman" w:eastAsia="仿宋" w:cs="Times New Roman"/>
          <w:bCs/>
          <w:sz w:val="28"/>
          <w:szCs w:val="28"/>
        </w:rPr>
      </w:pPr>
      <w:r>
        <w:rPr>
          <w:rFonts w:hint="default" w:ascii="Times New Roman" w:hAnsi="Times New Roman" w:eastAsia="仿宋" w:cs="Times New Roman"/>
          <w:bCs/>
          <w:sz w:val="28"/>
          <w:szCs w:val="28"/>
        </w:rPr>
        <w:t>由表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6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可见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eastAsia="zh-CN"/>
        </w:rPr>
        <w:t>，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果实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eastAsia="zh-CN"/>
        </w:rPr>
        <w:t>：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重量有轻、中、重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eastAsia="zh-CN"/>
        </w:rPr>
        <w:t>三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种表达状态分别为33.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6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%，50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.0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%，16.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%；果实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eastAsia="zh-CN"/>
        </w:rPr>
        <w:t>：横径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分为短、中、长，分别占39.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0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%，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30.9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%，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30.1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%；果实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eastAsia="zh-CN"/>
        </w:rPr>
        <w:t>：纵径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分短、中、长三个等级，分别占39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.1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%，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50.9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%，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10.0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%；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eastAsia="zh-CN"/>
        </w:rPr>
        <w:t>果实：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中果皮占果实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eastAsia="zh-CN"/>
        </w:rPr>
        <w:t>重量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比例分为低、中、高三个等级，分别占16.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%，66.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%，1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7.2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果实：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中果皮含油率分为低、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低到中、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中、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中到高、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高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个等级，分别占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11.8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%，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26.4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%，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31.8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21.8%，8.2%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果实：不饱和脂肪酸含量分为低、中、高三个等级，分别占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25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.5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eastAsia="zh-CN"/>
        </w:rPr>
        <w:t>、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62.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7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eastAsia="zh-CN"/>
        </w:rPr>
        <w:t>、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1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1.8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default" w:ascii="Times New Roman" w:hAnsi="Times New Roman" w:eastAsia="仿宋" w:cs="Times New Roman"/>
          <w:b/>
          <w:szCs w:val="21"/>
        </w:rPr>
      </w:pPr>
    </w:p>
    <w:p>
      <w:pPr>
        <w:rPr>
          <w:rFonts w:hint="default" w:ascii="Times New Roman" w:hAnsi="Times New Roman" w:eastAsia="仿宋" w:cs="Times New Roman"/>
          <w:b/>
          <w:szCs w:val="21"/>
        </w:rPr>
      </w:pPr>
    </w:p>
    <w:p>
      <w:pPr>
        <w:rPr>
          <w:rFonts w:hint="default" w:ascii="Times New Roman" w:hAnsi="Times New Roman" w:eastAsia="仿宋" w:cs="Times New Roman"/>
          <w:b/>
          <w:szCs w:val="21"/>
        </w:rPr>
      </w:pPr>
    </w:p>
    <w:p>
      <w:pPr>
        <w:rPr>
          <w:rFonts w:hint="default" w:ascii="Times New Roman" w:hAnsi="Times New Roman" w:eastAsia="仿宋" w:cs="Times New Roman"/>
          <w:b/>
          <w:szCs w:val="21"/>
        </w:rPr>
      </w:pPr>
    </w:p>
    <w:p>
      <w:pPr>
        <w:rPr>
          <w:rFonts w:hint="default" w:ascii="Times New Roman" w:hAnsi="Times New Roman" w:eastAsia="仿宋" w:cs="Times New Roman"/>
          <w:b/>
          <w:szCs w:val="21"/>
        </w:rPr>
      </w:pPr>
    </w:p>
    <w:p>
      <w:pPr>
        <w:rPr>
          <w:rFonts w:hint="default" w:ascii="Times New Roman" w:hAnsi="Times New Roman" w:eastAsia="仿宋" w:cs="Times New Roman"/>
          <w:b/>
          <w:szCs w:val="21"/>
        </w:rPr>
      </w:pPr>
    </w:p>
    <w:p>
      <w:pPr>
        <w:rPr>
          <w:rFonts w:hint="default" w:ascii="Times New Roman" w:hAnsi="Times New Roman" w:eastAsia="仿宋" w:cs="Times New Roman"/>
          <w:b/>
          <w:szCs w:val="21"/>
        </w:rPr>
      </w:pPr>
    </w:p>
    <w:p>
      <w:pPr>
        <w:rPr>
          <w:rFonts w:hint="default" w:ascii="Times New Roman" w:hAnsi="Times New Roman" w:eastAsia="仿宋" w:cs="Times New Roman"/>
          <w:b/>
          <w:szCs w:val="21"/>
        </w:rPr>
      </w:pPr>
    </w:p>
    <w:p>
      <w:pPr>
        <w:rPr>
          <w:rFonts w:hint="default" w:ascii="Times New Roman" w:hAnsi="Times New Roman" w:eastAsia="仿宋" w:cs="Times New Roman"/>
          <w:b/>
          <w:szCs w:val="21"/>
        </w:rPr>
      </w:pPr>
    </w:p>
    <w:p>
      <w:pPr>
        <w:rPr>
          <w:rFonts w:hint="default" w:ascii="Times New Roman" w:hAnsi="Times New Roman" w:eastAsia="仿宋" w:cs="Times New Roman"/>
          <w:b/>
          <w:szCs w:val="21"/>
        </w:rPr>
      </w:pPr>
    </w:p>
    <w:p>
      <w:pPr>
        <w:rPr>
          <w:rFonts w:hint="default" w:ascii="Times New Roman" w:hAnsi="Times New Roman" w:eastAsia="仿宋" w:cs="Times New Roman"/>
          <w:b/>
          <w:szCs w:val="21"/>
        </w:rPr>
      </w:pPr>
    </w:p>
    <w:p>
      <w:pPr>
        <w:rPr>
          <w:rFonts w:hint="default" w:ascii="Times New Roman" w:hAnsi="Times New Roman" w:eastAsia="仿宋" w:cs="Times New Roman"/>
          <w:b/>
          <w:szCs w:val="21"/>
        </w:rPr>
      </w:pPr>
    </w:p>
    <w:p>
      <w:pPr>
        <w:rPr>
          <w:rFonts w:hint="default" w:ascii="Times New Roman" w:hAnsi="Times New Roman" w:eastAsia="仿宋" w:cs="Times New Roman"/>
          <w:b/>
          <w:szCs w:val="21"/>
        </w:rPr>
      </w:pPr>
    </w:p>
    <w:p>
      <w:pPr>
        <w:rPr>
          <w:rFonts w:hint="default" w:ascii="Times New Roman" w:hAnsi="Times New Roman" w:eastAsia="仿宋" w:cs="Times New Roman"/>
          <w:b/>
          <w:szCs w:val="21"/>
        </w:rPr>
      </w:pPr>
    </w:p>
    <w:p>
      <w:pPr>
        <w:rPr>
          <w:rFonts w:hint="default" w:ascii="Times New Roman" w:hAnsi="Times New Roman" w:eastAsia="仿宋" w:cs="Times New Roman"/>
          <w:b/>
          <w:szCs w:val="21"/>
        </w:rPr>
      </w:pPr>
    </w:p>
    <w:p>
      <w:pPr>
        <w:rPr>
          <w:rFonts w:hint="default" w:ascii="Times New Roman" w:hAnsi="Times New Roman" w:eastAsia="仿宋" w:cs="Times New Roman"/>
          <w:b/>
          <w:szCs w:val="21"/>
        </w:rPr>
      </w:pPr>
    </w:p>
    <w:p>
      <w:pPr>
        <w:rPr>
          <w:rFonts w:hint="default" w:ascii="Times New Roman" w:hAnsi="Times New Roman" w:eastAsia="仿宋" w:cs="Times New Roman"/>
          <w:b/>
          <w:szCs w:val="21"/>
        </w:rPr>
      </w:pPr>
    </w:p>
    <w:p>
      <w:pPr>
        <w:rPr>
          <w:rFonts w:hint="default" w:ascii="Times New Roman" w:hAnsi="Times New Roman" w:eastAsia="仿宋" w:cs="Times New Roman"/>
          <w:b/>
          <w:szCs w:val="21"/>
        </w:rPr>
      </w:pPr>
    </w:p>
    <w:p>
      <w:pPr>
        <w:rPr>
          <w:rFonts w:hint="default" w:ascii="Times New Roman" w:hAnsi="Times New Roman" w:eastAsia="仿宋" w:cs="Times New Roman"/>
          <w:b/>
          <w:szCs w:val="21"/>
        </w:rPr>
      </w:pPr>
    </w:p>
    <w:p>
      <w:pPr>
        <w:rPr>
          <w:rFonts w:hint="default" w:ascii="Times New Roman" w:hAnsi="Times New Roman" w:eastAsia="仿宋" w:cs="Times New Roman"/>
          <w:b/>
          <w:szCs w:val="21"/>
        </w:rPr>
      </w:pPr>
    </w:p>
    <w:p>
      <w:pPr>
        <w:rPr>
          <w:rFonts w:hint="default" w:ascii="Times New Roman" w:hAnsi="Times New Roman" w:eastAsia="仿宋" w:cs="Times New Roman"/>
          <w:b/>
          <w:szCs w:val="21"/>
        </w:rPr>
      </w:pPr>
    </w:p>
    <w:p>
      <w:pPr>
        <w:snapToGrid w:val="0"/>
        <w:spacing w:before="163" w:beforeLines="50"/>
        <w:jc w:val="center"/>
        <w:rPr>
          <w:rFonts w:hint="default" w:ascii="Times New Roman" w:hAnsi="Times New Roman" w:eastAsia="黑体" w:cs="Times New Roman"/>
        </w:rPr>
      </w:pPr>
    </w:p>
    <w:p>
      <w:pPr>
        <w:snapToGrid w:val="0"/>
        <w:spacing w:before="163" w:beforeLines="50"/>
        <w:jc w:val="center"/>
        <w:rPr>
          <w:rFonts w:hint="default" w:ascii="Times New Roman" w:hAnsi="Times New Roman" w:eastAsia="黑体" w:cs="Times New Roman"/>
        </w:rPr>
      </w:pPr>
    </w:p>
    <w:p>
      <w:pPr>
        <w:snapToGrid w:val="0"/>
        <w:spacing w:before="163" w:beforeLines="50"/>
        <w:jc w:val="center"/>
        <w:rPr>
          <w:rFonts w:hint="default" w:ascii="Times New Roman" w:hAnsi="Times New Roman" w:eastAsia="黑体" w:cs="Times New Roman"/>
        </w:rPr>
      </w:pPr>
    </w:p>
    <w:p>
      <w:pPr>
        <w:snapToGrid w:val="0"/>
        <w:spacing w:before="163" w:beforeLines="50"/>
        <w:jc w:val="center"/>
        <w:rPr>
          <w:rFonts w:hint="default" w:ascii="Times New Roman" w:hAnsi="Times New Roman" w:eastAsia="黑体" w:cs="Times New Roman"/>
        </w:rPr>
      </w:pPr>
    </w:p>
    <w:p>
      <w:pPr>
        <w:snapToGrid w:val="0"/>
        <w:spacing w:before="163" w:beforeLines="50"/>
        <w:jc w:val="center"/>
        <w:rPr>
          <w:rFonts w:hint="default" w:ascii="Times New Roman" w:hAnsi="Times New Roman" w:eastAsia="黑体" w:cs="Times New Roman"/>
        </w:rPr>
      </w:pPr>
      <w:r>
        <w:rPr>
          <w:rFonts w:hint="default" w:ascii="Times New Roman" w:hAnsi="Times New Roman" w:eastAsia="黑体" w:cs="Times New Roman"/>
        </w:rPr>
        <w:t>表</w:t>
      </w:r>
      <w:r>
        <w:rPr>
          <w:rFonts w:hint="default" w:ascii="Times New Roman" w:hAnsi="Times New Roman" w:eastAsia="黑体" w:cs="Times New Roman"/>
          <w:lang w:val="en-US" w:eastAsia="zh-CN"/>
        </w:rPr>
        <w:t>6</w:t>
      </w:r>
      <w:r>
        <w:rPr>
          <w:rFonts w:hint="default" w:ascii="Times New Roman" w:hAnsi="Times New Roman" w:eastAsia="黑体" w:cs="Times New Roman"/>
        </w:rPr>
        <w:t>油棕树供试材料测量果实性状分析</w:t>
      </w:r>
    </w:p>
    <w:tbl>
      <w:tblPr>
        <w:tblStyle w:val="3"/>
        <w:tblpPr w:leftFromText="180" w:rightFromText="180" w:vertAnchor="text" w:horzAnchor="page" w:tblpX="1522" w:tblpY="604"/>
        <w:tblOverlap w:val="never"/>
        <w:tblW w:w="90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4"/>
        <w:gridCol w:w="630"/>
        <w:gridCol w:w="1076"/>
        <w:gridCol w:w="1714"/>
        <w:gridCol w:w="1000"/>
        <w:gridCol w:w="1259"/>
        <w:gridCol w:w="18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</w:trPr>
        <w:tc>
          <w:tcPr>
            <w:tcW w:w="1514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性状</w:t>
            </w:r>
          </w:p>
        </w:tc>
        <w:tc>
          <w:tcPr>
            <w:tcW w:w="63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单位</w:t>
            </w:r>
          </w:p>
        </w:tc>
        <w:tc>
          <w:tcPr>
            <w:tcW w:w="107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评价分级</w:t>
            </w:r>
          </w:p>
        </w:tc>
        <w:tc>
          <w:tcPr>
            <w:tcW w:w="1714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分级标准</w:t>
            </w:r>
          </w:p>
        </w:tc>
        <w:tc>
          <w:tcPr>
            <w:tcW w:w="100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份数</w:t>
            </w:r>
          </w:p>
        </w:tc>
        <w:tc>
          <w:tcPr>
            <w:tcW w:w="125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百分比（%）</w:t>
            </w:r>
          </w:p>
        </w:tc>
        <w:tc>
          <w:tcPr>
            <w:tcW w:w="1883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参考品种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514" w:type="dxa"/>
            <w:vMerge w:val="restart"/>
            <w:vAlign w:val="center"/>
          </w:tcPr>
          <w:p>
            <w:pPr>
              <w:spacing w:line="0" w:lineRule="atLeast"/>
              <w:rPr>
                <w:rFonts w:hint="default" w:ascii="Times New Roman" w:hAnsi="Times New Roman" w:eastAsia="仿宋" w:cs="Times New Roman"/>
                <w:spacing w:val="6"/>
                <w:position w:val="6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 w:val="21"/>
                <w:szCs w:val="21"/>
                <w:lang w:eastAsia="zh-CN"/>
              </w:rPr>
              <w:t>果实：</w:t>
            </w: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 w:val="21"/>
                <w:szCs w:val="21"/>
              </w:rPr>
              <w:t>重量（性状</w:t>
            </w: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 w:val="21"/>
                <w:szCs w:val="21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 w:val="21"/>
                <w:szCs w:val="21"/>
              </w:rPr>
              <w:t>）</w:t>
            </w:r>
          </w:p>
          <w:p>
            <w:pP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</w:p>
          <w:p>
            <w:pP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</w:p>
        </w:tc>
        <w:tc>
          <w:tcPr>
            <w:tcW w:w="630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g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  <w:t>轻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  <w:t>≤7.6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37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33.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514" w:type="dxa"/>
            <w:vMerge w:val="continue"/>
            <w:vAlign w:val="center"/>
          </w:tcPr>
          <w:p>
            <w:pP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</w:p>
        </w:tc>
        <w:tc>
          <w:tcPr>
            <w:tcW w:w="630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  <w:t>中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  <w:t>（7.6,8.7）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55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50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.0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Deli×Nigeria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514" w:type="dxa"/>
            <w:vMerge w:val="continue"/>
            <w:vAlign w:val="center"/>
          </w:tcPr>
          <w:p>
            <w:pP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</w:p>
        </w:tc>
        <w:tc>
          <w:tcPr>
            <w:tcW w:w="630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  <w:t>重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bidi="ar"/>
              </w:rPr>
              <w:t>≥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  <w:t>8.7</w:t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</w:pP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16.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514" w:type="dxa"/>
            <w:vMerge w:val="restart"/>
            <w:vAlign w:val="center"/>
          </w:tcPr>
          <w:p>
            <w:pP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  <w:t>果实</w:t>
            </w: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  <w:lang w:eastAsia="zh-CN"/>
              </w:rPr>
              <w:t>：</w:t>
            </w: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  <w:t>横径</w:t>
            </w:r>
          </w:p>
          <w:p>
            <w:pP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  <w:t>（性状</w:t>
            </w: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  <w:lang w:val="en-US" w:eastAsia="zh-CN"/>
              </w:rPr>
              <w:t>13</w:t>
            </w: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  <w:t>）</w:t>
            </w:r>
          </w:p>
          <w:p>
            <w:pPr>
              <w:rPr>
                <w:rFonts w:hint="default" w:ascii="Times New Roman" w:hAnsi="Times New Roman" w:eastAsia="仿宋" w:cs="Times New Roman"/>
                <w:iCs/>
                <w:sz w:val="21"/>
                <w:szCs w:val="21"/>
                <w:highlight w:val="yellow"/>
              </w:rPr>
            </w:pPr>
          </w:p>
          <w:p>
            <w:pP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</w:p>
        </w:tc>
        <w:tc>
          <w:tcPr>
            <w:tcW w:w="630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mm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  <w:t>短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bidi="ar"/>
              </w:rPr>
              <w:t>≤16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43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39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.0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514" w:type="dxa"/>
            <w:vMerge w:val="continue"/>
            <w:vAlign w:val="center"/>
          </w:tcPr>
          <w:p>
            <w:pP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</w:p>
        </w:tc>
        <w:tc>
          <w:tcPr>
            <w:tcW w:w="630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  <w:t>中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bidi="ar"/>
              </w:rPr>
              <w:t>（16,27）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34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3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0.9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514" w:type="dxa"/>
            <w:vMerge w:val="continue"/>
            <w:vAlign w:val="center"/>
          </w:tcPr>
          <w:p>
            <w:pP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</w:p>
        </w:tc>
        <w:tc>
          <w:tcPr>
            <w:tcW w:w="630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  <w:t>长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bidi="ar"/>
              </w:rPr>
              <w:t>≥</w:t>
            </w: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bidi="ar"/>
              </w:rPr>
              <w:t>27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33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30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.1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</w:rPr>
              <w:t>Deli Dura×AVROS Pisifera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514" w:type="dxa"/>
            <w:vMerge w:val="restart"/>
            <w:vAlign w:val="center"/>
          </w:tcPr>
          <w:p>
            <w:pPr>
              <w:spacing w:line="0" w:lineRule="atLeast"/>
              <w:rPr>
                <w:rFonts w:hint="default" w:ascii="Times New Roman" w:hAnsi="Times New Roman" w:eastAsia="仿宋" w:cs="Times New Roman"/>
                <w:spacing w:val="6"/>
                <w:position w:val="6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 w:val="21"/>
                <w:szCs w:val="21"/>
              </w:rPr>
              <w:t>果实</w:t>
            </w: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 w:val="21"/>
                <w:szCs w:val="21"/>
                <w:lang w:eastAsia="zh-CN"/>
              </w:rPr>
              <w:t>：</w:t>
            </w: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 w:val="21"/>
                <w:szCs w:val="21"/>
              </w:rPr>
              <w:t>纵径</w:t>
            </w:r>
          </w:p>
          <w:p>
            <w:pPr>
              <w:spacing w:line="0" w:lineRule="atLeast"/>
              <w:rPr>
                <w:rFonts w:hint="default" w:ascii="Times New Roman" w:hAnsi="Times New Roman" w:eastAsia="仿宋" w:cs="Times New Roman"/>
                <w:spacing w:val="6"/>
                <w:position w:val="6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 w:val="21"/>
                <w:szCs w:val="21"/>
              </w:rPr>
              <w:t>（性状</w:t>
            </w: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 w:val="21"/>
                <w:szCs w:val="21"/>
                <w:lang w:val="en-US" w:eastAsia="zh-CN"/>
              </w:rPr>
              <w:t>14</w:t>
            </w: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 w:val="21"/>
                <w:szCs w:val="21"/>
              </w:rPr>
              <w:t>）</w:t>
            </w:r>
          </w:p>
          <w:p>
            <w:pP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</w:p>
          <w:p>
            <w:pP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</w:p>
        </w:tc>
        <w:tc>
          <w:tcPr>
            <w:tcW w:w="630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mm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  <w:t>短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bidi="ar"/>
              </w:rPr>
              <w:t>≤30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43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39.1%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514" w:type="dxa"/>
            <w:vMerge w:val="continue"/>
            <w:vAlign w:val="center"/>
          </w:tcPr>
          <w:p>
            <w:pP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</w:p>
        </w:tc>
        <w:tc>
          <w:tcPr>
            <w:tcW w:w="630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  <w:t>中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bidi="ar"/>
              </w:rPr>
              <w:t>（30，45）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56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50.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9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exact"/>
        </w:trPr>
        <w:tc>
          <w:tcPr>
            <w:tcW w:w="1514" w:type="dxa"/>
            <w:vMerge w:val="continue"/>
            <w:vAlign w:val="center"/>
          </w:tcPr>
          <w:p>
            <w:pP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</w:p>
        </w:tc>
        <w:tc>
          <w:tcPr>
            <w:tcW w:w="630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  <w:t>长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bidi="ar"/>
              </w:rPr>
              <w:t>≥</w:t>
            </w: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bidi="ar"/>
              </w:rPr>
              <w:t>45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10.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0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</w:rPr>
              <w:t xml:space="preserve"> O×G Amazon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exact"/>
        </w:trPr>
        <w:tc>
          <w:tcPr>
            <w:tcW w:w="1514" w:type="dxa"/>
            <w:vMerge w:val="restart"/>
            <w:vAlign w:val="center"/>
          </w:tcPr>
          <w:p>
            <w:pPr>
              <w:rPr>
                <w:rFonts w:hint="default" w:ascii="Times New Roman" w:hAnsi="Times New Roman" w:eastAsia="仿宋" w:cs="Times New Roman"/>
                <w:spacing w:val="6"/>
                <w:position w:val="6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 w:val="21"/>
                <w:szCs w:val="21"/>
                <w:lang w:eastAsia="zh-CN"/>
              </w:rPr>
              <w:t>果实</w:t>
            </w: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 w:val="21"/>
                <w:szCs w:val="21"/>
              </w:rPr>
              <w:t>：中果皮占果实</w:t>
            </w: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 w:val="21"/>
                <w:szCs w:val="21"/>
                <w:lang w:eastAsia="zh-CN"/>
              </w:rPr>
              <w:t>重量</w:t>
            </w: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 w:val="21"/>
                <w:szCs w:val="21"/>
              </w:rPr>
              <w:t>比例</w:t>
            </w:r>
          </w:p>
          <w:p>
            <w:pP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 w:val="21"/>
                <w:szCs w:val="21"/>
              </w:rPr>
              <w:t>（性状</w:t>
            </w: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 w:val="21"/>
                <w:szCs w:val="21"/>
                <w:lang w:val="en-US" w:eastAsia="zh-CN"/>
              </w:rPr>
              <w:t>21</w:t>
            </w: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 w:val="21"/>
                <w:szCs w:val="21"/>
              </w:rPr>
              <w:t>）</w:t>
            </w:r>
          </w:p>
          <w:p>
            <w:pP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</w:p>
          <w:p>
            <w:pP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</w:p>
        </w:tc>
        <w:tc>
          <w:tcPr>
            <w:tcW w:w="630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%</w:t>
            </w:r>
          </w:p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  <w:t>低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  <w:t>≤76.5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16.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</w:trPr>
        <w:tc>
          <w:tcPr>
            <w:tcW w:w="1514" w:type="dxa"/>
            <w:vMerge w:val="continue"/>
            <w:vAlign w:val="center"/>
          </w:tcPr>
          <w:p>
            <w:pP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</w:p>
        </w:tc>
        <w:tc>
          <w:tcPr>
            <w:tcW w:w="630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  <w:t>中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  <w:t>（76.5,83.5）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73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66.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Bamenda×Ekona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exact"/>
        </w:trPr>
        <w:tc>
          <w:tcPr>
            <w:tcW w:w="1514" w:type="dxa"/>
            <w:vMerge w:val="continue"/>
            <w:vAlign w:val="center"/>
          </w:tcPr>
          <w:p>
            <w:pP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</w:p>
        </w:tc>
        <w:tc>
          <w:tcPr>
            <w:tcW w:w="630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  <w:t>高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bidi="ar"/>
              </w:rPr>
              <w:t>≥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bidi="ar"/>
              </w:rPr>
              <w:t>83.5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19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1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7.2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exact"/>
        </w:trPr>
        <w:tc>
          <w:tcPr>
            <w:tcW w:w="1514" w:type="dxa"/>
            <w:vMerge w:val="restart"/>
            <w:vAlign w:val="center"/>
          </w:tcPr>
          <w:p>
            <w:pPr>
              <w:spacing w:line="260" w:lineRule="exact"/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果实：中果皮含油率</w:t>
            </w:r>
          </w:p>
          <w:p>
            <w:pPr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（性状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>
            <w:pPr>
              <w:rPr>
                <w:rFonts w:hint="default" w:ascii="Times New Roman" w:hAnsi="Times New Roman" w:eastAsia="仿宋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default" w:ascii="Times New Roman" w:hAnsi="Times New Roman" w:eastAsia="仿宋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default" w:ascii="Times New Roman" w:hAnsi="Times New Roman" w:eastAsia="仿宋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default" w:ascii="Times New Roman" w:hAnsi="Times New Roman" w:eastAsia="仿宋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0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低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≤4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11.8</w:t>
            </w:r>
            <w:r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Deli×Ghana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exact"/>
        </w:trPr>
        <w:tc>
          <w:tcPr>
            <w:tcW w:w="1514" w:type="dxa"/>
            <w:vMerge w:val="continue"/>
            <w:vAlign w:val="center"/>
          </w:tcPr>
          <w:p>
            <w:pPr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0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低到中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47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26.4%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exact"/>
        </w:trPr>
        <w:tc>
          <w:tcPr>
            <w:tcW w:w="1514" w:type="dxa"/>
            <w:vMerge w:val="continue"/>
            <w:vAlign w:val="center"/>
          </w:tcPr>
          <w:p>
            <w:pPr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0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中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53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31.8</w:t>
            </w:r>
            <w:r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exact"/>
        </w:trPr>
        <w:tc>
          <w:tcPr>
            <w:tcW w:w="1514" w:type="dxa"/>
            <w:vMerge w:val="continue"/>
            <w:vAlign w:val="center"/>
          </w:tcPr>
          <w:p>
            <w:pPr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0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中</w:t>
            </w: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到高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53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56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21.8%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exact"/>
        </w:trPr>
        <w:tc>
          <w:tcPr>
            <w:tcW w:w="1514" w:type="dxa"/>
            <w:vMerge w:val="continue"/>
            <w:vAlign w:val="center"/>
          </w:tcPr>
          <w:p>
            <w:pPr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0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≥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8.2</w:t>
            </w:r>
            <w:r>
              <w:rPr>
                <w:rFonts w:hint="default" w:ascii="Times New Roman" w:hAnsi="Times New Roman" w:cs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O×G Amazon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514" w:type="dxa"/>
            <w:vMerge w:val="restart"/>
            <w:vAlign w:val="center"/>
          </w:tcPr>
          <w:p>
            <w:pP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  <w:lang w:eastAsia="zh-CN"/>
              </w:rPr>
              <w:t>果实：</w:t>
            </w: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  <w:t>不饱和脂肪酸含量</w:t>
            </w:r>
          </w:p>
          <w:p>
            <w:pPr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  <w:t>（性状</w:t>
            </w: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  <w:lang w:val="en-US" w:eastAsia="zh-CN"/>
              </w:rPr>
              <w:t>23</w:t>
            </w: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  <w:t>）</w:t>
            </w:r>
          </w:p>
        </w:tc>
        <w:tc>
          <w:tcPr>
            <w:tcW w:w="630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%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  <w:t>低</w:t>
            </w:r>
          </w:p>
        </w:tc>
        <w:tc>
          <w:tcPr>
            <w:tcW w:w="17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≤50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28</w:t>
            </w:r>
          </w:p>
        </w:tc>
        <w:tc>
          <w:tcPr>
            <w:tcW w:w="125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25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.5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exact"/>
        </w:trPr>
        <w:tc>
          <w:tcPr>
            <w:tcW w:w="1514" w:type="dxa"/>
            <w:vMerge w:val="continue"/>
            <w:vAlign w:val="center"/>
          </w:tcPr>
          <w:p>
            <w:pPr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</w:p>
        </w:tc>
        <w:tc>
          <w:tcPr>
            <w:tcW w:w="630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  <w:t>中</w:t>
            </w:r>
          </w:p>
        </w:tc>
        <w:tc>
          <w:tcPr>
            <w:tcW w:w="17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（51,54）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69</w:t>
            </w:r>
          </w:p>
        </w:tc>
        <w:tc>
          <w:tcPr>
            <w:tcW w:w="125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62.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2"/>
                <w:lang w:val="en-US" w:eastAsia="zh-CN"/>
              </w:rPr>
              <w:t>O×G Amazon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exact"/>
        </w:trPr>
        <w:tc>
          <w:tcPr>
            <w:tcW w:w="1514" w:type="dxa"/>
            <w:vMerge w:val="continue"/>
            <w:vAlign w:val="center"/>
          </w:tcPr>
          <w:p>
            <w:pPr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</w:p>
        </w:tc>
        <w:tc>
          <w:tcPr>
            <w:tcW w:w="630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 w:val="21"/>
                <w:szCs w:val="21"/>
              </w:rPr>
              <w:t>高</w:t>
            </w:r>
          </w:p>
        </w:tc>
        <w:tc>
          <w:tcPr>
            <w:tcW w:w="17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≤70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125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1.8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2"/>
                <w:lang w:val="en-US" w:eastAsia="zh-CN"/>
              </w:rPr>
            </w:pPr>
          </w:p>
        </w:tc>
      </w:tr>
    </w:tbl>
    <w:p>
      <w:pPr>
        <w:rPr>
          <w:rFonts w:hint="default" w:ascii="Times New Roman" w:hAnsi="Times New Roman" w:eastAsia="仿宋" w:cs="Times New Roman"/>
          <w:b/>
          <w:sz w:val="21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</w:p>
    <w:tbl>
      <w:tblPr>
        <w:tblStyle w:val="4"/>
        <w:tblW w:w="85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8"/>
        <w:gridCol w:w="432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98" w:type="dxa"/>
          </w:tcPr>
          <w:p>
            <w:pPr>
              <w:spacing w:line="360" w:lineRule="auto"/>
              <w:rPr>
                <w:rFonts w:hint="default" w:ascii="Times New Roman" w:hAnsi="Times New Roman" w:eastAsia="仿宋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524125" cy="1664335"/>
                  <wp:effectExtent l="0" t="0" r="9525" b="12065"/>
                  <wp:docPr id="12" name="图表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  <w:tc>
          <w:tcPr>
            <w:tcW w:w="4324" w:type="dxa"/>
          </w:tcPr>
          <w:p>
            <w:pPr>
              <w:spacing w:line="360" w:lineRule="auto"/>
              <w:rPr>
                <w:rFonts w:hint="default" w:ascii="Times New Roman" w:hAnsi="Times New Roman" w:eastAsia="仿宋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608580" cy="1713230"/>
                  <wp:effectExtent l="0" t="0" r="1270" b="1270"/>
                  <wp:docPr id="22" name="图表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98" w:type="dxa"/>
          </w:tcPr>
          <w:p>
            <w:pPr>
              <w:spacing w:line="360" w:lineRule="auto"/>
              <w:rPr>
                <w:rFonts w:hint="default" w:ascii="Times New Roman" w:hAnsi="Times New Roman" w:eastAsia="仿宋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524125" cy="1664335"/>
                  <wp:effectExtent l="0" t="0" r="9525" b="12065"/>
                  <wp:docPr id="13" name="图表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  <w:tc>
          <w:tcPr>
            <w:tcW w:w="4324" w:type="dxa"/>
          </w:tcPr>
          <w:p>
            <w:pPr>
              <w:spacing w:line="360" w:lineRule="auto"/>
              <w:rPr>
                <w:rFonts w:hint="default" w:ascii="Times New Roman" w:hAnsi="Times New Roman" w:eastAsia="仿宋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608580" cy="1697355"/>
                  <wp:effectExtent l="0" t="0" r="1270" b="17145"/>
                  <wp:docPr id="18" name="图表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8" w:hRule="atLeast"/>
          <w:jc w:val="center"/>
        </w:trPr>
        <w:tc>
          <w:tcPr>
            <w:tcW w:w="4198" w:type="dxa"/>
          </w:tcPr>
          <w:p>
            <w:pPr>
              <w:spacing w:line="360" w:lineRule="auto"/>
              <w:rPr>
                <w:rFonts w:hint="default" w:ascii="Times New Roman" w:hAnsi="Times New Roman" w:eastAsia="仿宋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601595" cy="1755140"/>
                  <wp:effectExtent l="0" t="0" r="8255" b="16510"/>
                  <wp:docPr id="5" name="图表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  <w:tc>
          <w:tcPr>
            <w:tcW w:w="4324" w:type="dxa"/>
          </w:tcPr>
          <w:p>
            <w:pPr>
              <w:spacing w:line="360" w:lineRule="auto"/>
              <w:rPr>
                <w:rFonts w:hint="default" w:ascii="Times New Roman" w:hAnsi="Times New Roman" w:eastAsia="仿宋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608580" cy="1713865"/>
                  <wp:effectExtent l="0" t="0" r="1270" b="635"/>
                  <wp:docPr id="76" name="图表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 w:ascii="Times New Roman" w:hAnsi="Times New Roman" w:eastAsia="仿宋" w:cs="Times New Roman"/>
          <w:b/>
          <w:szCs w:val="21"/>
        </w:rPr>
      </w:pPr>
      <w:r>
        <w:rPr>
          <w:rFonts w:hint="default" w:ascii="Times New Roman" w:hAnsi="Times New Roman" w:eastAsia="仿宋" w:cs="Times New Roman"/>
          <w:b/>
          <w:szCs w:val="21"/>
        </w:rPr>
        <w:t>图1</w:t>
      </w:r>
      <w:r>
        <w:rPr>
          <w:rFonts w:hint="default" w:ascii="Times New Roman" w:hAnsi="Times New Roman" w:eastAsia="仿宋" w:cs="Times New Roman"/>
          <w:b/>
          <w:szCs w:val="21"/>
          <w:lang w:val="en-US" w:eastAsia="zh-CN"/>
        </w:rPr>
        <w:t xml:space="preserve">2 </w:t>
      </w:r>
      <w:r>
        <w:rPr>
          <w:rFonts w:hint="default" w:ascii="Times New Roman" w:hAnsi="Times New Roman" w:eastAsia="仿宋" w:cs="Times New Roman"/>
          <w:b/>
          <w:szCs w:val="21"/>
        </w:rPr>
        <w:t>油棕树供试材料测量果实性状分析图</w:t>
      </w:r>
    </w:p>
    <w:p>
      <w:pPr>
        <w:numPr>
          <w:ilvl w:val="0"/>
          <w:numId w:val="0"/>
        </w:num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eastAsia="zh-CN"/>
        </w:rPr>
        <w:t>（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eastAsia="zh-CN"/>
        </w:rPr>
        <w:t>）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油棕树果实性状图示多样性分析</w:t>
      </w:r>
    </w:p>
    <w:p>
      <w:pPr>
        <w:spacing w:line="360" w:lineRule="auto"/>
        <w:ind w:firstLine="548" w:firstLineChars="200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eastAsia="仿宋" w:cs="Times New Roman"/>
          <w:spacing w:val="-3"/>
          <w:sz w:val="28"/>
          <w:szCs w:val="28"/>
        </w:rPr>
        <w:t>图1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</w:rPr>
        <w:t>果：果实类型</w:t>
      </w:r>
      <w:r>
        <w:rPr>
          <w:rFonts w:hint="default" w:ascii="Times New Roman" w:hAnsi="Times New Roman" w:eastAsia="仿宋" w:cs="Times New Roman"/>
          <w:sz w:val="28"/>
          <w:szCs w:val="28"/>
        </w:rPr>
        <w:t>根据观测油棕果纵剖面果壳的类型分为厚壳种</w:t>
      </w:r>
      <w:r>
        <w:rPr>
          <w:rFonts w:hint="default" w:ascii="Times New Roman" w:hAnsi="Times New Roman" w:eastAsia="仿宋" w:cs="Times New Roman"/>
          <w:sz w:val="28"/>
          <w:szCs w:val="28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28"/>
          <w:szCs w:val="28"/>
        </w:rPr>
        <w:t>薄壳种、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无壳种、</w:t>
      </w:r>
      <w:r>
        <w:rPr>
          <w:rFonts w:hint="default" w:ascii="Times New Roman" w:hAnsi="Times New Roman" w:eastAsia="仿宋" w:cs="Times New Roman"/>
          <w:sz w:val="28"/>
          <w:szCs w:val="28"/>
        </w:rPr>
        <w:t>无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籽</w:t>
      </w:r>
      <w:r>
        <w:rPr>
          <w:rFonts w:hint="default" w:ascii="Times New Roman" w:hAnsi="Times New Roman" w:eastAsia="仿宋" w:cs="Times New Roman"/>
          <w:sz w:val="28"/>
          <w:szCs w:val="28"/>
        </w:rPr>
        <w:t>种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等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sz w:val="28"/>
          <w:szCs w:val="28"/>
        </w:rPr>
        <w:t>种类型；图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</w:rPr>
        <w:t>1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sz w:val="28"/>
          <w:szCs w:val="28"/>
        </w:rPr>
        <w:t>果：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</w:rPr>
        <w:t>果实颜色</w:t>
      </w:r>
      <w:r>
        <w:rPr>
          <w:rFonts w:hint="default" w:ascii="Times New Roman" w:hAnsi="Times New Roman" w:eastAsia="仿宋" w:cs="Times New Roman"/>
          <w:sz w:val="28"/>
          <w:szCs w:val="28"/>
        </w:rPr>
        <w:t>根据成熟果分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</w:rPr>
        <w:t>橙黄色、棕红色两类；</w:t>
      </w:r>
      <w:r>
        <w:rPr>
          <w:rFonts w:hint="default" w:ascii="Times New Roman" w:hAnsi="Times New Roman" w:eastAsia="仿宋" w:cs="Times New Roman"/>
          <w:snapToGrid w:val="0"/>
          <w:spacing w:val="-3"/>
          <w:sz w:val="28"/>
          <w:szCs w:val="28"/>
        </w:rPr>
        <w:t>图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  <w:lang w:val="en-US" w:eastAsia="zh-CN"/>
        </w:rPr>
        <w:t>15</w:t>
      </w:r>
      <w:r>
        <w:rPr>
          <w:rFonts w:hint="default" w:ascii="Times New Roman" w:hAnsi="Times New Roman" w:eastAsia="仿宋" w:cs="Times New Roman"/>
          <w:snapToGrid w:val="0"/>
          <w:spacing w:val="-3"/>
          <w:sz w:val="28"/>
          <w:szCs w:val="28"/>
        </w:rPr>
        <w:t>果：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</w:rPr>
        <w:t>果实横径，取至少10个果实为观测对象，用游标卡尺测量油棕果实的最大横向宽度，计算平均值；图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  <w:lang w:val="en-US" w:eastAsia="zh-CN"/>
        </w:rPr>
        <w:t>16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</w:rPr>
        <w:t>果：果实纵径，取至少10个果实为观测对象，用游标卡尺测量油棕果实的最大纵向长度，计算平均值；</w:t>
      </w:r>
      <w:r>
        <w:rPr>
          <w:rFonts w:hint="default" w:ascii="Times New Roman" w:hAnsi="Times New Roman" w:eastAsia="仿宋" w:cs="Times New Roman"/>
          <w:snapToGrid w:val="0"/>
          <w:spacing w:val="-3"/>
          <w:sz w:val="28"/>
          <w:szCs w:val="28"/>
        </w:rPr>
        <w:t>图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  <w:lang w:val="en-US" w:eastAsia="zh-CN"/>
        </w:rPr>
        <w:t>17</w:t>
      </w:r>
      <w:r>
        <w:rPr>
          <w:rFonts w:hint="default" w:ascii="Times New Roman" w:hAnsi="Times New Roman" w:eastAsia="仿宋" w:cs="Times New Roman"/>
          <w:snapToGrid w:val="0"/>
          <w:spacing w:val="-3"/>
          <w:sz w:val="28"/>
          <w:szCs w:val="28"/>
        </w:rPr>
        <w:t>果：中果皮颜色，</w:t>
      </w:r>
      <w:r>
        <w:rPr>
          <w:rFonts w:hint="default" w:ascii="Times New Roman" w:hAnsi="Times New Roman" w:eastAsia="仿宋" w:cs="Times New Roman"/>
          <w:sz w:val="28"/>
          <w:szCs w:val="28"/>
        </w:rPr>
        <w:t>根据果实的不同时期的果实在剥去外果皮来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</w:rPr>
        <w:t>观察，中果皮颜色分</w:t>
      </w:r>
      <w:r>
        <w:rPr>
          <w:rFonts w:hint="default" w:ascii="Times New Roman" w:hAnsi="Times New Roman" w:eastAsia="仿宋" w:cs="Times New Roman"/>
          <w:sz w:val="28"/>
          <w:szCs w:val="28"/>
        </w:rPr>
        <w:t>幼果期的绿色、成熟果期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</w:rPr>
        <w:t>橙黄色、棕红色两种颜色；图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  <w:lang w:val="en-US" w:eastAsia="zh-CN"/>
        </w:rPr>
        <w:t>18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</w:rPr>
        <w:t>果：果实的种仁数量，对</w:t>
      </w:r>
      <w:r>
        <w:rPr>
          <w:rFonts w:hint="default" w:ascii="Times New Roman" w:hAnsi="Times New Roman" w:eastAsia="仿宋" w:cs="Times New Roman"/>
          <w:sz w:val="28"/>
          <w:szCs w:val="28"/>
        </w:rPr>
        <w:t>油棕果实横径面目测每个油棕果实含种仁的数量，分为单个、二个、多个</w:t>
      </w:r>
      <w:r>
        <w:rPr>
          <w:rFonts w:hint="default" w:ascii="Times New Roman" w:hAnsi="Times New Roman" w:eastAsia="仿宋" w:cs="Times New Roman"/>
          <w:spacing w:val="-3"/>
          <w:sz w:val="28"/>
          <w:szCs w:val="28"/>
        </w:rPr>
        <w:t>3</w:t>
      </w:r>
      <w:r>
        <w:rPr>
          <w:rFonts w:hint="default" w:ascii="Times New Roman" w:hAnsi="Times New Roman" w:eastAsia="仿宋" w:cs="Times New Roman"/>
          <w:sz w:val="28"/>
          <w:szCs w:val="28"/>
        </w:rPr>
        <w:t>类。</w:t>
      </w:r>
    </w:p>
    <w:p>
      <w:pPr>
        <w:numPr>
          <w:ilvl w:val="0"/>
          <w:numId w:val="0"/>
        </w:numPr>
        <w:spacing w:line="480" w:lineRule="exact"/>
        <w:ind w:firstLine="422" w:firstLineChars="200"/>
        <w:rPr>
          <w:rFonts w:hint="default" w:ascii="Times New Roman" w:hAnsi="Times New Roman" w:eastAsia="仿宋" w:cs="Times New Roman"/>
          <w:b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4"/>
        <w:tblW w:w="1036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16"/>
        <w:gridCol w:w="2682"/>
        <w:gridCol w:w="2595"/>
        <w:gridCol w:w="25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7" w:hRule="atLeast"/>
          <w:tblHeader/>
          <w:jc w:val="center"/>
        </w:trPr>
        <w:tc>
          <w:tcPr>
            <w:tcW w:w="2516" w:type="dxa"/>
            <w:shd w:val="clear" w:color="auto" w:fill="auto"/>
            <w:vAlign w:val="center"/>
          </w:tcPr>
          <w:p>
            <w:pPr>
              <w:pStyle w:val="7"/>
              <w:widowControl w:val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1574165" cy="1595120"/>
                  <wp:effectExtent l="0" t="0" r="6985" b="5080"/>
                  <wp:docPr id="4" name="图片 93" descr="微信图片_2021112916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93" descr="微信图片_2021112916022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l="7001" t="4201" r="8121" b="9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shd w:val="clear" w:color="auto" w:fill="auto"/>
            <w:vAlign w:val="center"/>
          </w:tcPr>
          <w:p>
            <w:pPr>
              <w:pStyle w:val="7"/>
              <w:widowControl w:val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1574165" cy="1594485"/>
                  <wp:effectExtent l="0" t="0" r="6985" b="5715"/>
                  <wp:docPr id="7" name="图片 92" descr="微信图片_20211129160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92" descr="微信图片_20211129160227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rcRect l="7458" t="10497" r="8565" b="8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shd w:val="clear" w:color="auto" w:fill="auto"/>
            <w:vAlign w:val="center"/>
          </w:tcPr>
          <w:p>
            <w:pPr>
              <w:pStyle w:val="7"/>
              <w:widowControl w:val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1645285" cy="1563370"/>
                  <wp:effectExtent l="0" t="0" r="12065" b="1778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85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  <w:shd w:val="clear" w:color="auto" w:fill="auto"/>
            <w:vAlign w:val="center"/>
          </w:tcPr>
          <w:p>
            <w:pPr>
              <w:pStyle w:val="7"/>
              <w:widowControl w:val="0"/>
              <w:rPr>
                <w:rFonts w:hint="default" w:ascii="Times New Roman" w:hAnsi="Times New Roman" w:eastAsia="宋体" w:cs="Times New Roman"/>
                <w:lang w:eastAsia="zh-C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1574165" cy="1595120"/>
                  <wp:effectExtent l="0" t="0" r="6985" b="5080"/>
                  <wp:docPr id="11" name="图片 91" descr="DSC_7116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1" descr="DSC_7116副本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l="9415" t="13379" r="6689" b="9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  <w:jc w:val="center"/>
        </w:trPr>
        <w:tc>
          <w:tcPr>
            <w:tcW w:w="2516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  <w:t>厚壳</w:t>
            </w:r>
          </w:p>
        </w:tc>
        <w:tc>
          <w:tcPr>
            <w:tcW w:w="2682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  <w:t>薄壳</w:t>
            </w:r>
          </w:p>
        </w:tc>
        <w:tc>
          <w:tcPr>
            <w:tcW w:w="2595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  <w:lang w:val="en-US" w:eastAsia="zh-CN"/>
              </w:rPr>
              <w:t>无壳</w:t>
            </w:r>
          </w:p>
        </w:tc>
        <w:tc>
          <w:tcPr>
            <w:tcW w:w="2568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  <w:t>无</w:t>
            </w:r>
            <w:r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  <w:lang w:val="en-US" w:eastAsia="zh-CN"/>
              </w:rPr>
              <w:t>籽</w:t>
            </w:r>
          </w:p>
        </w:tc>
      </w:tr>
    </w:tbl>
    <w:p>
      <w:pPr>
        <w:jc w:val="center"/>
        <w:rPr>
          <w:rFonts w:hint="default" w:ascii="Times New Roman" w:hAnsi="Times New Roman" w:eastAsia="仿宋" w:cs="Times New Roman"/>
          <w:b/>
          <w:szCs w:val="21"/>
        </w:rPr>
      </w:pPr>
      <w:r>
        <w:rPr>
          <w:rFonts w:hint="default" w:ascii="Times New Roman" w:hAnsi="Times New Roman" w:eastAsia="仿宋" w:cs="Times New Roman"/>
          <w:b/>
          <w:szCs w:val="21"/>
        </w:rPr>
        <w:t>图1</w:t>
      </w:r>
      <w:r>
        <w:rPr>
          <w:rFonts w:hint="default" w:ascii="Times New Roman" w:hAnsi="Times New Roman" w:eastAsia="仿宋" w:cs="Times New Roman"/>
          <w:b/>
          <w:szCs w:val="21"/>
          <w:lang w:val="en-US" w:eastAsia="zh-CN"/>
        </w:rPr>
        <w:t xml:space="preserve">3 </w:t>
      </w:r>
      <w:r>
        <w:rPr>
          <w:rFonts w:hint="default" w:ascii="Times New Roman" w:hAnsi="Times New Roman" w:eastAsia="仿宋" w:cs="Times New Roman"/>
          <w:b/>
          <w:szCs w:val="21"/>
        </w:rPr>
        <w:t>果实</w:t>
      </w:r>
      <w:r>
        <w:rPr>
          <w:rFonts w:hint="default" w:ascii="Times New Roman" w:hAnsi="Times New Roman" w:eastAsia="仿宋" w:cs="Times New Roman"/>
          <w:b/>
          <w:szCs w:val="21"/>
          <w:lang w:eastAsia="zh-CN"/>
        </w:rPr>
        <w:t>：</w:t>
      </w:r>
      <w:r>
        <w:rPr>
          <w:rFonts w:hint="default" w:ascii="Times New Roman" w:hAnsi="Times New Roman" w:eastAsia="仿宋" w:cs="Times New Roman"/>
          <w:b/>
          <w:szCs w:val="21"/>
        </w:rPr>
        <w:t>类型</w:t>
      </w:r>
    </w:p>
    <w:tbl>
      <w:tblPr>
        <w:tblStyle w:val="4"/>
        <w:tblpPr w:leftFromText="180" w:rightFromText="180" w:vertAnchor="text" w:horzAnchor="page" w:tblpX="3955" w:tblpY="317"/>
        <w:tblOverlap w:val="never"/>
        <w:tblW w:w="426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1"/>
        <w:gridCol w:w="21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2131" w:type="dxa"/>
          </w:tcPr>
          <w:p>
            <w:pPr>
              <w:rPr>
                <w:rFonts w:hint="default" w:ascii="Times New Roman" w:hAnsi="Times New Roman" w:eastAsia="仿宋" w:cs="Times New Roman"/>
                <w:snapToGrid w:val="0"/>
                <w:color w:val="FF0000"/>
                <w:spacing w:val="-3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FF0000"/>
                <w:spacing w:val="4"/>
                <w:szCs w:val="21"/>
              </w:rPr>
              <w:drawing>
                <wp:inline distT="0" distB="0" distL="114300" distR="114300">
                  <wp:extent cx="1224280" cy="1751965"/>
                  <wp:effectExtent l="0" t="0" r="13970" b="635"/>
                  <wp:docPr id="49" name="图片 104" descr="DSC_7090副本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04" descr="DSC_7090副本2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>
            <w:pPr>
              <w:rPr>
                <w:rFonts w:hint="default" w:ascii="Times New Roman" w:hAnsi="Times New Roman" w:eastAsia="仿宋" w:cs="Times New Roman"/>
                <w:snapToGrid w:val="0"/>
                <w:color w:val="FF0000"/>
                <w:spacing w:val="-3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pacing w:val="4"/>
                <w:position w:val="1"/>
                <w:szCs w:val="21"/>
              </w:rPr>
              <w:drawing>
                <wp:inline distT="0" distB="0" distL="114300" distR="114300">
                  <wp:extent cx="1224280" cy="1751965"/>
                  <wp:effectExtent l="0" t="0" r="13970" b="635"/>
                  <wp:docPr id="50" name="图片 105" descr="DSC_7154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05" descr="DSC_7154副本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1" w:type="dxa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  <w:t>（成熟果期）  橙黄</w:t>
            </w:r>
          </w:p>
        </w:tc>
        <w:tc>
          <w:tcPr>
            <w:tcW w:w="2131" w:type="dxa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  <w:t>（成熟果期）棕红</w:t>
            </w:r>
          </w:p>
        </w:tc>
      </w:tr>
    </w:tbl>
    <w:p>
      <w:pPr>
        <w:rPr>
          <w:rFonts w:hint="default" w:ascii="Times New Roman" w:hAnsi="Times New Roman" w:eastAsia="仿宋" w:cs="Times New Roman"/>
          <w:sz w:val="28"/>
          <w:szCs w:val="28"/>
        </w:rPr>
      </w:pPr>
    </w:p>
    <w:p>
      <w:pPr>
        <w:jc w:val="center"/>
        <w:rPr>
          <w:rFonts w:hint="default" w:ascii="Times New Roman" w:hAnsi="Times New Roman" w:eastAsia="仿宋" w:cs="Times New Roman"/>
          <w:b/>
          <w:bCs/>
          <w:spacing w:val="4"/>
          <w:szCs w:val="21"/>
        </w:rPr>
      </w:pPr>
    </w:p>
    <w:p>
      <w:pPr>
        <w:jc w:val="center"/>
        <w:rPr>
          <w:rFonts w:hint="default" w:ascii="Times New Roman" w:hAnsi="Times New Roman" w:eastAsia="仿宋" w:cs="Times New Roman"/>
          <w:b/>
          <w:bCs/>
          <w:spacing w:val="4"/>
          <w:szCs w:val="21"/>
        </w:rPr>
      </w:pPr>
    </w:p>
    <w:p>
      <w:pPr>
        <w:jc w:val="center"/>
        <w:rPr>
          <w:rFonts w:hint="default" w:ascii="Times New Roman" w:hAnsi="Times New Roman" w:eastAsia="仿宋" w:cs="Times New Roman"/>
          <w:b/>
          <w:bCs/>
          <w:spacing w:val="4"/>
          <w:szCs w:val="21"/>
        </w:rPr>
      </w:pPr>
    </w:p>
    <w:p>
      <w:pPr>
        <w:jc w:val="center"/>
        <w:rPr>
          <w:rFonts w:hint="default" w:ascii="Times New Roman" w:hAnsi="Times New Roman" w:eastAsia="仿宋" w:cs="Times New Roman"/>
          <w:b/>
          <w:bCs/>
          <w:spacing w:val="4"/>
          <w:szCs w:val="21"/>
        </w:rPr>
      </w:pPr>
    </w:p>
    <w:p>
      <w:pPr>
        <w:jc w:val="center"/>
        <w:rPr>
          <w:rFonts w:hint="default" w:ascii="Times New Roman" w:hAnsi="Times New Roman" w:eastAsia="仿宋" w:cs="Times New Roman"/>
          <w:b/>
          <w:bCs/>
          <w:spacing w:val="4"/>
          <w:szCs w:val="21"/>
        </w:rPr>
      </w:pPr>
    </w:p>
    <w:p>
      <w:pPr>
        <w:jc w:val="center"/>
        <w:rPr>
          <w:rFonts w:hint="default" w:ascii="Times New Roman" w:hAnsi="Times New Roman" w:eastAsia="仿宋" w:cs="Times New Roman"/>
          <w:b/>
          <w:bCs/>
          <w:spacing w:val="4"/>
          <w:szCs w:val="21"/>
        </w:rPr>
      </w:pPr>
    </w:p>
    <w:p>
      <w:pPr>
        <w:jc w:val="center"/>
        <w:rPr>
          <w:rFonts w:hint="default" w:ascii="Times New Roman" w:hAnsi="Times New Roman" w:eastAsia="仿宋" w:cs="Times New Roman"/>
          <w:b/>
          <w:bCs/>
          <w:spacing w:val="4"/>
          <w:szCs w:val="21"/>
        </w:rPr>
      </w:pPr>
    </w:p>
    <w:p>
      <w:pPr>
        <w:jc w:val="center"/>
        <w:rPr>
          <w:rFonts w:hint="default" w:ascii="Times New Roman" w:hAnsi="Times New Roman" w:eastAsia="仿宋" w:cs="Times New Roman"/>
          <w:b/>
          <w:bCs/>
          <w:spacing w:val="4"/>
          <w:szCs w:val="21"/>
        </w:rPr>
      </w:pPr>
    </w:p>
    <w:p>
      <w:pPr>
        <w:jc w:val="center"/>
        <w:rPr>
          <w:rFonts w:hint="default" w:ascii="Times New Roman" w:hAnsi="Times New Roman" w:eastAsia="仿宋" w:cs="Times New Roman"/>
          <w:b/>
          <w:bCs/>
          <w:spacing w:val="4"/>
          <w:szCs w:val="21"/>
        </w:rPr>
      </w:pPr>
    </w:p>
    <w:p>
      <w:pPr>
        <w:jc w:val="center"/>
        <w:rPr>
          <w:rFonts w:hint="default" w:ascii="Times New Roman" w:hAnsi="Times New Roman" w:eastAsia="仿宋" w:cs="Times New Roman"/>
          <w:b/>
          <w:bCs/>
          <w:spacing w:val="4"/>
          <w:szCs w:val="21"/>
        </w:rPr>
      </w:pPr>
    </w:p>
    <w:p>
      <w:pPr>
        <w:jc w:val="center"/>
        <w:rPr>
          <w:rFonts w:hint="default" w:ascii="Times New Roman" w:hAnsi="Times New Roman" w:eastAsia="仿宋" w:cs="Times New Roman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仿宋" w:cs="Times New Roman"/>
          <w:b/>
          <w:bCs/>
          <w:spacing w:val="4"/>
          <w:szCs w:val="21"/>
        </w:rPr>
        <w:t>图1</w:t>
      </w:r>
      <w:r>
        <w:rPr>
          <w:rFonts w:hint="default" w:ascii="Times New Roman" w:hAnsi="Times New Roman" w:eastAsia="仿宋" w:cs="Times New Roman"/>
          <w:b/>
          <w:bCs/>
          <w:spacing w:val="4"/>
          <w:szCs w:val="21"/>
          <w:lang w:val="en-US" w:eastAsia="zh-CN"/>
        </w:rPr>
        <w:t xml:space="preserve">4 </w:t>
      </w:r>
      <w:r>
        <w:rPr>
          <w:rFonts w:hint="default" w:ascii="Times New Roman" w:hAnsi="Times New Roman" w:eastAsia="仿宋" w:cs="Times New Roman"/>
          <w:b/>
          <w:bCs/>
          <w:spacing w:val="4"/>
          <w:szCs w:val="21"/>
        </w:rPr>
        <w:t>果：果实颜色</w:t>
      </w:r>
    </w:p>
    <w:p>
      <w:pPr>
        <w:jc w:val="both"/>
        <w:rPr>
          <w:rFonts w:hint="default" w:ascii="Times New Roman" w:hAnsi="Times New Roman" w:eastAsia="仿宋" w:cs="Times New Roman"/>
          <w:b/>
          <w:bCs/>
          <w:spacing w:val="4"/>
          <w:szCs w:val="21"/>
        </w:rPr>
      </w:pPr>
    </w:p>
    <w:tbl>
      <w:tblPr>
        <w:tblStyle w:val="4"/>
        <w:tblW w:w="491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1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15" w:type="dxa"/>
          </w:tcPr>
          <w:p>
            <w:pPr>
              <w:rPr>
                <w:rFonts w:hint="default" w:ascii="Times New Roman" w:hAnsi="Times New Roman" w:eastAsia="黑体" w:cs="Times New Roman"/>
                <w:b/>
                <w:bCs/>
                <w:spacing w:val="-3"/>
                <w:szCs w:val="21"/>
              </w:rPr>
            </w:pPr>
            <w:r>
              <w:rPr>
                <w:rFonts w:hint="default" w:ascii="Times New Roman" w:hAnsi="Times New Roman" w:eastAsia="宋体" w:cs="Times New Roman"/>
              </w:rPr>
              <w:drawing>
                <wp:inline distT="0" distB="0" distL="114300" distR="114300">
                  <wp:extent cx="2827655" cy="1979295"/>
                  <wp:effectExtent l="0" t="0" r="10795" b="1905"/>
                  <wp:docPr id="37" name="图片 37" descr="微信图片_20220427164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微信图片_20220427164217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55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 w:ascii="Times New Roman" w:hAnsi="Times New Roman" w:eastAsia="仿宋" w:cs="Times New Roman"/>
          <w:b/>
          <w:bCs/>
          <w:spacing w:val="-3"/>
          <w:szCs w:val="21"/>
        </w:rPr>
      </w:pPr>
      <w:r>
        <w:rPr>
          <w:rFonts w:hint="default" w:ascii="Times New Roman" w:hAnsi="Times New Roman" w:eastAsia="仿宋" w:cs="Times New Roman"/>
          <w:b/>
          <w:bCs/>
          <w:spacing w:val="-3"/>
          <w:szCs w:val="21"/>
        </w:rPr>
        <w:t>图</w:t>
      </w:r>
      <w:r>
        <w:rPr>
          <w:rFonts w:hint="default" w:ascii="Times New Roman" w:hAnsi="Times New Roman" w:eastAsia="仿宋" w:cs="Times New Roman"/>
          <w:b/>
          <w:bCs/>
          <w:spacing w:val="-3"/>
          <w:szCs w:val="21"/>
          <w:lang w:val="en-US" w:eastAsia="zh-CN"/>
        </w:rPr>
        <w:t>15</w:t>
      </w:r>
      <w:r>
        <w:rPr>
          <w:rFonts w:hint="default" w:ascii="Times New Roman" w:hAnsi="Times New Roman" w:eastAsia="仿宋" w:cs="Times New Roman"/>
          <w:b/>
          <w:bCs/>
          <w:spacing w:val="-3"/>
          <w:szCs w:val="21"/>
        </w:rPr>
        <w:t>果实</w:t>
      </w:r>
      <w:r>
        <w:rPr>
          <w:rFonts w:hint="default" w:ascii="Times New Roman" w:hAnsi="Times New Roman" w:eastAsia="仿宋" w:cs="Times New Roman"/>
          <w:b/>
          <w:bCs/>
          <w:spacing w:val="-3"/>
          <w:szCs w:val="21"/>
          <w:lang w:eastAsia="zh-CN"/>
        </w:rPr>
        <w:t>：</w:t>
      </w:r>
      <w:r>
        <w:rPr>
          <w:rFonts w:hint="default" w:ascii="Times New Roman" w:hAnsi="Times New Roman" w:eastAsia="仿宋" w:cs="Times New Roman"/>
          <w:b/>
          <w:bCs/>
          <w:spacing w:val="-3"/>
          <w:szCs w:val="21"/>
        </w:rPr>
        <w:t>横径</w:t>
      </w:r>
    </w:p>
    <w:p>
      <w:pPr>
        <w:jc w:val="center"/>
        <w:rPr>
          <w:rFonts w:hint="default" w:ascii="Times New Roman" w:hAnsi="Times New Roman" w:eastAsia="仿宋" w:cs="Times New Roman"/>
          <w:b/>
          <w:bCs/>
          <w:spacing w:val="-3"/>
          <w:szCs w:val="21"/>
        </w:rPr>
      </w:pPr>
    </w:p>
    <w:tbl>
      <w:tblPr>
        <w:tblStyle w:val="4"/>
        <w:tblW w:w="482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29" w:type="dxa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color w:val="FF0000"/>
                <w:spacing w:val="-3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drawing>
                <wp:inline distT="0" distB="0" distL="114300" distR="114300">
                  <wp:extent cx="2827655" cy="1979295"/>
                  <wp:effectExtent l="0" t="0" r="10795" b="1905"/>
                  <wp:docPr id="16" name="图片 16" descr="微信图片_20220427164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2042716421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55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 w:ascii="Times New Roman" w:hAnsi="Times New Roman" w:eastAsia="仿宋" w:cs="Times New Roman"/>
          <w:b/>
          <w:bCs/>
          <w:spacing w:val="-3"/>
          <w:szCs w:val="21"/>
          <w:lang w:eastAsia="zh-CN"/>
        </w:rPr>
      </w:pPr>
      <w:r>
        <w:rPr>
          <w:rFonts w:hint="default" w:ascii="Times New Roman" w:hAnsi="Times New Roman" w:eastAsia="仿宋" w:cs="Times New Roman"/>
          <w:b/>
          <w:bCs/>
          <w:spacing w:val="-3"/>
          <w:szCs w:val="21"/>
        </w:rPr>
        <w:t>图</w:t>
      </w:r>
      <w:r>
        <w:rPr>
          <w:rFonts w:hint="default" w:ascii="Times New Roman" w:hAnsi="Times New Roman" w:eastAsia="仿宋" w:cs="Times New Roman"/>
          <w:b/>
          <w:bCs/>
          <w:spacing w:val="-3"/>
          <w:szCs w:val="21"/>
          <w:lang w:val="en-US" w:eastAsia="zh-CN"/>
        </w:rPr>
        <w:t>16</w:t>
      </w:r>
      <w:r>
        <w:rPr>
          <w:rFonts w:hint="default" w:ascii="Times New Roman" w:hAnsi="Times New Roman" w:eastAsia="仿宋" w:cs="Times New Roman"/>
          <w:b/>
          <w:bCs/>
          <w:spacing w:val="-3"/>
          <w:szCs w:val="21"/>
        </w:rPr>
        <w:t xml:space="preserve"> 果实</w:t>
      </w:r>
      <w:r>
        <w:rPr>
          <w:rFonts w:hint="default" w:ascii="Times New Roman" w:hAnsi="Times New Roman" w:eastAsia="仿宋" w:cs="Times New Roman"/>
          <w:b/>
          <w:bCs/>
          <w:spacing w:val="-3"/>
          <w:szCs w:val="21"/>
          <w:lang w:eastAsia="zh-CN"/>
        </w:rPr>
        <w:t>：纵径</w:t>
      </w:r>
    </w:p>
    <w:p>
      <w:pPr>
        <w:jc w:val="center"/>
        <w:rPr>
          <w:rFonts w:hint="default" w:ascii="Times New Roman" w:hAnsi="Times New Roman" w:eastAsia="仿宋" w:cs="Times New Roman"/>
          <w:b/>
          <w:bCs/>
          <w:spacing w:val="-3"/>
          <w:szCs w:val="21"/>
        </w:rPr>
      </w:pPr>
    </w:p>
    <w:tbl>
      <w:tblPr>
        <w:tblStyle w:val="4"/>
        <w:tblW w:w="830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0"/>
        <w:gridCol w:w="2856"/>
        <w:gridCol w:w="27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5" w:hRule="atLeast"/>
          <w:tblHeader/>
          <w:jc w:val="center"/>
        </w:trPr>
        <w:tc>
          <w:tcPr>
            <w:tcW w:w="2680" w:type="dxa"/>
            <w:shd w:val="clear" w:color="auto" w:fill="auto"/>
            <w:vAlign w:val="center"/>
          </w:tcPr>
          <w:p>
            <w:pPr>
              <w:pStyle w:val="7"/>
              <w:widowControl w:val="0"/>
              <w:jc w:val="both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-3"/>
                <w:szCs w:val="21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63500</wp:posOffset>
                  </wp:positionV>
                  <wp:extent cx="1583055" cy="2263775"/>
                  <wp:effectExtent l="0" t="0" r="17145" b="3175"/>
                  <wp:wrapTight wrapText="bothSides">
                    <wp:wrapPolygon>
                      <wp:start x="0" y="0"/>
                      <wp:lineTo x="0" y="21449"/>
                      <wp:lineTo x="21314" y="21449"/>
                      <wp:lineTo x="21314" y="0"/>
                      <wp:lineTo x="0" y="0"/>
                    </wp:wrapPolygon>
                  </wp:wrapTight>
                  <wp:docPr id="19" name="图片 1" descr="DSC_7820副本 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DSC_7820副本  2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226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6" w:type="dxa"/>
            <w:shd w:val="clear" w:color="auto" w:fill="auto"/>
            <w:vAlign w:val="center"/>
          </w:tcPr>
          <w:p>
            <w:pPr>
              <w:pStyle w:val="7"/>
              <w:widowControl w:val="0"/>
              <w:jc w:val="both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-3"/>
                <w:szCs w:val="21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63500</wp:posOffset>
                  </wp:positionV>
                  <wp:extent cx="1583055" cy="2263775"/>
                  <wp:effectExtent l="0" t="0" r="17145" b="3175"/>
                  <wp:wrapTight wrapText="bothSides">
                    <wp:wrapPolygon>
                      <wp:start x="0" y="0"/>
                      <wp:lineTo x="0" y="21449"/>
                      <wp:lineTo x="21314" y="21449"/>
                      <wp:lineTo x="21314" y="0"/>
                      <wp:lineTo x="0" y="0"/>
                    </wp:wrapPolygon>
                  </wp:wrapTight>
                  <wp:docPr id="45" name="图片 60" descr="DSC_7832副本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60" descr="DSC_7832副本2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226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4" w:type="dxa"/>
            <w:shd w:val="clear" w:color="auto" w:fill="auto"/>
            <w:vAlign w:val="center"/>
          </w:tcPr>
          <w:p>
            <w:pPr>
              <w:pStyle w:val="7"/>
              <w:widowControl w:val="0"/>
              <w:jc w:val="both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spacing w:val="4"/>
                <w:szCs w:val="21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66675</wp:posOffset>
                  </wp:positionV>
                  <wp:extent cx="1583055" cy="2263775"/>
                  <wp:effectExtent l="0" t="0" r="17145" b="3175"/>
                  <wp:wrapTight wrapText="bothSides">
                    <wp:wrapPolygon>
                      <wp:start x="0" y="0"/>
                      <wp:lineTo x="0" y="21449"/>
                      <wp:lineTo x="21314" y="21449"/>
                      <wp:lineTo x="21314" y="0"/>
                      <wp:lineTo x="0" y="0"/>
                    </wp:wrapPolygon>
                  </wp:wrapTight>
                  <wp:docPr id="51" name="图片 61" descr="DSC_7811  2副本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61" descr="DSC_7811  2副本 2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226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86" w:hRule="atLeast"/>
          <w:jc w:val="center"/>
        </w:trPr>
        <w:tc>
          <w:tcPr>
            <w:tcW w:w="2680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  <w:t>（幼果期）绿色</w:t>
            </w:r>
          </w:p>
        </w:tc>
        <w:tc>
          <w:tcPr>
            <w:tcW w:w="2856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  <w:t>（成熟期）橙黄色</w:t>
            </w:r>
          </w:p>
        </w:tc>
        <w:tc>
          <w:tcPr>
            <w:tcW w:w="2764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</w:rPr>
              <w:t>（成熟期）棕红色</w:t>
            </w:r>
          </w:p>
        </w:tc>
      </w:tr>
    </w:tbl>
    <w:p>
      <w:pPr>
        <w:jc w:val="both"/>
        <w:rPr>
          <w:rFonts w:hint="default" w:ascii="Times New Roman" w:hAnsi="Times New Roman" w:eastAsia="仿宋" w:cs="Times New Roman"/>
          <w:b/>
          <w:bCs/>
          <w:spacing w:val="-3"/>
          <w:szCs w:val="21"/>
        </w:rPr>
      </w:pPr>
    </w:p>
    <w:p>
      <w:pPr>
        <w:jc w:val="center"/>
        <w:rPr>
          <w:rFonts w:hint="default" w:ascii="Times New Roman" w:hAnsi="Times New Roman" w:eastAsia="仿宋" w:cs="Times New Roman"/>
          <w:b/>
          <w:bCs/>
          <w:spacing w:val="-3"/>
          <w:szCs w:val="21"/>
          <w:lang w:eastAsia="zh-CN"/>
        </w:rPr>
      </w:pPr>
      <w:r>
        <w:rPr>
          <w:rFonts w:hint="default" w:ascii="Times New Roman" w:hAnsi="Times New Roman" w:eastAsia="仿宋" w:cs="Times New Roman"/>
          <w:b/>
          <w:bCs/>
          <w:spacing w:val="-3"/>
          <w:szCs w:val="21"/>
        </w:rPr>
        <w:t>图</w:t>
      </w:r>
      <w:r>
        <w:rPr>
          <w:rFonts w:hint="default" w:ascii="Times New Roman" w:hAnsi="Times New Roman" w:eastAsia="仿宋" w:cs="Times New Roman"/>
          <w:b/>
          <w:bCs/>
          <w:spacing w:val="-3"/>
          <w:szCs w:val="21"/>
          <w:lang w:val="en-US" w:eastAsia="zh-CN"/>
        </w:rPr>
        <w:t>17</w:t>
      </w:r>
      <w:r>
        <w:rPr>
          <w:rFonts w:hint="default" w:ascii="Times New Roman" w:hAnsi="Times New Roman" w:eastAsia="仿宋" w:cs="Times New Roman"/>
          <w:b/>
          <w:bCs/>
          <w:spacing w:val="-3"/>
          <w:szCs w:val="21"/>
        </w:rPr>
        <w:t xml:space="preserve"> 果实</w:t>
      </w:r>
      <w:r>
        <w:rPr>
          <w:rFonts w:hint="default" w:ascii="Times New Roman" w:hAnsi="Times New Roman" w:eastAsia="仿宋" w:cs="Times New Roman"/>
          <w:b/>
          <w:bCs/>
          <w:spacing w:val="-3"/>
          <w:szCs w:val="21"/>
          <w:lang w:eastAsia="zh-CN"/>
        </w:rPr>
        <w:t>：中果皮颜色</w:t>
      </w:r>
    </w:p>
    <w:p>
      <w:pPr>
        <w:jc w:val="center"/>
        <w:rPr>
          <w:rFonts w:hint="default" w:ascii="Times New Roman" w:hAnsi="Times New Roman" w:eastAsia="仿宋" w:cs="Times New Roman"/>
          <w:b/>
          <w:bCs/>
          <w:spacing w:val="-3"/>
          <w:szCs w:val="21"/>
          <w:lang w:eastAsia="zh-CN"/>
        </w:rPr>
      </w:pPr>
    </w:p>
    <w:p>
      <w:pPr>
        <w:jc w:val="both"/>
        <w:rPr>
          <w:rFonts w:hint="default" w:ascii="Times New Roman" w:hAnsi="Times New Roman" w:eastAsia="仿宋" w:cs="Times New Roman"/>
          <w:b/>
          <w:bCs/>
          <w:spacing w:val="-3"/>
          <w:szCs w:val="21"/>
          <w:lang w:eastAsia="zh-CN"/>
        </w:rPr>
      </w:pPr>
    </w:p>
    <w:tbl>
      <w:tblPr>
        <w:tblStyle w:val="4"/>
        <w:tblW w:w="830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0"/>
        <w:gridCol w:w="2856"/>
        <w:gridCol w:w="27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8" w:hRule="atLeast"/>
          <w:tblHeader/>
          <w:jc w:val="center"/>
        </w:trPr>
        <w:tc>
          <w:tcPr>
            <w:tcW w:w="2680" w:type="dxa"/>
            <w:shd w:val="clear" w:color="auto" w:fill="auto"/>
            <w:vAlign w:val="center"/>
          </w:tcPr>
          <w:p>
            <w:pPr>
              <w:pStyle w:val="7"/>
              <w:widowControl w:val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-3"/>
                <w:szCs w:val="21"/>
              </w:rPr>
              <w:drawing>
                <wp:inline distT="0" distB="0" distL="114300" distR="114300">
                  <wp:extent cx="1638935" cy="1534160"/>
                  <wp:effectExtent l="0" t="0" r="18415" b="8890"/>
                  <wp:docPr id="55" name="图片 106" descr="DSC_7119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06" descr="DSC_7119副本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  <w:shd w:val="clear" w:color="auto" w:fill="auto"/>
            <w:vAlign w:val="center"/>
          </w:tcPr>
          <w:p>
            <w:pPr>
              <w:pStyle w:val="7"/>
              <w:widowControl w:val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4"/>
                <w:szCs w:val="21"/>
              </w:rPr>
              <w:drawing>
                <wp:inline distT="0" distB="0" distL="114300" distR="114300">
                  <wp:extent cx="1638935" cy="1534160"/>
                  <wp:effectExtent l="0" t="0" r="18415" b="8890"/>
                  <wp:docPr id="56" name="图片 107" descr="DSC_7121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07" descr="DSC_7121副本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shd w:val="clear" w:color="auto" w:fill="auto"/>
            <w:vAlign w:val="center"/>
          </w:tcPr>
          <w:p>
            <w:pPr>
              <w:pStyle w:val="7"/>
              <w:widowControl w:val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4"/>
                <w:szCs w:val="21"/>
              </w:rPr>
              <w:drawing>
                <wp:inline distT="0" distB="0" distL="114300" distR="114300">
                  <wp:extent cx="1638935" cy="1534160"/>
                  <wp:effectExtent l="0" t="0" r="18415" b="8890"/>
                  <wp:docPr id="57" name="图片 108" descr="微信图片_20211217085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08" descr="微信图片_20211217085606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rcRect l="13191" r="12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  <w:jc w:val="center"/>
        </w:trPr>
        <w:tc>
          <w:tcPr>
            <w:tcW w:w="2680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  <w:lang w:eastAsia="zh-CN"/>
              </w:rPr>
              <w:t>单个</w:t>
            </w:r>
          </w:p>
        </w:tc>
        <w:tc>
          <w:tcPr>
            <w:tcW w:w="2856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  <w:lang w:eastAsia="zh-CN"/>
              </w:rPr>
              <w:t>二个</w:t>
            </w:r>
          </w:p>
        </w:tc>
        <w:tc>
          <w:tcPr>
            <w:tcW w:w="2764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pacing w:val="-3"/>
                <w:szCs w:val="21"/>
                <w:lang w:eastAsia="zh-CN"/>
              </w:rPr>
              <w:t>多个</w:t>
            </w:r>
          </w:p>
        </w:tc>
      </w:tr>
    </w:tbl>
    <w:p>
      <w:pPr>
        <w:jc w:val="center"/>
        <w:rPr>
          <w:rFonts w:hint="default" w:ascii="Times New Roman" w:hAnsi="Times New Roman" w:eastAsia="仿宋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仿宋" w:cs="Times New Roman"/>
          <w:b/>
          <w:bCs/>
          <w:spacing w:val="4"/>
          <w:szCs w:val="21"/>
        </w:rPr>
        <w:t>图</w:t>
      </w:r>
      <w:r>
        <w:rPr>
          <w:rFonts w:hint="default" w:ascii="Times New Roman" w:hAnsi="Times New Roman" w:eastAsia="仿宋" w:cs="Times New Roman"/>
          <w:b/>
          <w:bCs/>
          <w:spacing w:val="-34"/>
          <w:szCs w:val="21"/>
          <w:lang w:val="en-US" w:eastAsia="zh-CN"/>
        </w:rPr>
        <w:t>18</w:t>
      </w:r>
      <w:r>
        <w:rPr>
          <w:rFonts w:hint="default" w:ascii="Times New Roman" w:hAnsi="Times New Roman" w:eastAsia="仿宋" w:cs="Times New Roman"/>
          <w:b/>
          <w:bCs/>
          <w:spacing w:val="10"/>
          <w:szCs w:val="21"/>
        </w:rPr>
        <w:t xml:space="preserve"> 果实</w:t>
      </w:r>
      <w:r>
        <w:rPr>
          <w:rFonts w:hint="default" w:ascii="Times New Roman" w:hAnsi="Times New Roman" w:eastAsia="仿宋" w:cs="Times New Roman"/>
          <w:b/>
          <w:bCs/>
          <w:spacing w:val="10"/>
          <w:szCs w:val="21"/>
          <w:lang w:eastAsia="zh-CN"/>
        </w:rPr>
        <w:t>：</w:t>
      </w:r>
      <w:r>
        <w:rPr>
          <w:rFonts w:hint="default" w:ascii="Times New Roman" w:hAnsi="Times New Roman" w:eastAsia="仿宋" w:cs="Times New Roman"/>
          <w:b/>
          <w:bCs/>
          <w:spacing w:val="10"/>
          <w:szCs w:val="21"/>
        </w:rPr>
        <w:t>种仁数量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（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）油棕树种子性状多样性分析</w:t>
      </w:r>
    </w:p>
    <w:p>
      <w:pPr>
        <w:spacing w:line="360" w:lineRule="auto"/>
        <w:ind w:firstLine="422" w:firstLineChars="200"/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/>
          <w:szCs w:val="21"/>
        </w:rPr>
        <w:t xml:space="preserve">  </w:t>
      </w:r>
      <w:r>
        <w:rPr>
          <w:rFonts w:hint="default" w:ascii="Times New Roman" w:hAnsi="Times New Roman" w:eastAsia="仿宋" w:cs="Times New Roman"/>
          <w:b/>
          <w:sz w:val="32"/>
          <w:szCs w:val="32"/>
        </w:rPr>
        <w:t xml:space="preserve"> 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由表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7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和和图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19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可知，种子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eastAsia="zh-CN"/>
        </w:rPr>
        <w:t>：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重量分为轻、中、重三个等级，分别占5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1.8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%、37.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%、10.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9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%；种子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eastAsia="zh-CN"/>
        </w:rPr>
        <w:t>：横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径分为短、中、长，其中短的占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41.8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%、中的占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51.8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%、长的占6.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%；种子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eastAsia="zh-CN"/>
        </w:rPr>
        <w:t>：纵径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分为短、中、长三个等级，短的占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eastAsia="zh-CN"/>
        </w:rPr>
        <w:t>最多，占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86.4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%、中的占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6.4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eastAsia="zh-CN"/>
        </w:rPr>
        <w:t>、长的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占6.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%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eastAsia="zh-CN"/>
        </w:rPr>
        <w:t>，长的占</w:t>
      </w:r>
      <w:r>
        <w:rPr>
          <w:rFonts w:hint="default" w:ascii="Times New Roman" w:hAnsi="Times New Roman" w:eastAsia="仿宋" w:cs="Times New Roman"/>
          <w:bCs/>
          <w:sz w:val="28"/>
          <w:szCs w:val="28"/>
          <w:lang w:val="en-US" w:eastAsia="zh-CN"/>
        </w:rPr>
        <w:t>7.2%</w:t>
      </w:r>
      <w:r>
        <w:rPr>
          <w:rFonts w:hint="default" w:ascii="Times New Roman" w:hAnsi="Times New Roman" w:eastAsia="仿宋" w:cs="Times New Roman"/>
          <w:bCs/>
          <w:sz w:val="28"/>
          <w:szCs w:val="28"/>
        </w:rPr>
        <w:t>；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种子：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种仁含油率分为低、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低到中、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中、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中到高、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高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个等级，分别占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.6%、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21.8%、31.8%、18.2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%、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13.6</w:t>
      </w:r>
      <w:r>
        <w:rPr>
          <w:rFonts w:hint="default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%。</w:t>
      </w:r>
    </w:p>
    <w:p>
      <w:pPr>
        <w:spacing w:line="360" w:lineRule="auto"/>
        <w:jc w:val="center"/>
        <w:rPr>
          <w:rFonts w:hint="default" w:ascii="Times New Roman" w:hAnsi="Times New Roman" w:eastAsia="仿宋" w:cs="Times New Roman"/>
          <w:bCs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szCs w:val="21"/>
        </w:rPr>
        <w:t>表</w:t>
      </w:r>
      <w:r>
        <w:rPr>
          <w:rFonts w:hint="default" w:ascii="Times New Roman" w:hAnsi="Times New Roman" w:eastAsia="仿宋" w:cs="Times New Roman"/>
          <w:b/>
          <w:szCs w:val="21"/>
          <w:lang w:val="en-US" w:eastAsia="zh-CN"/>
        </w:rPr>
        <w:t>7</w:t>
      </w:r>
      <w:r>
        <w:rPr>
          <w:rFonts w:hint="default" w:ascii="Times New Roman" w:hAnsi="Times New Roman" w:eastAsia="仿宋" w:cs="Times New Roman"/>
          <w:b/>
          <w:szCs w:val="21"/>
        </w:rPr>
        <w:t>油棕树供试材料测量种子性状分析</w:t>
      </w:r>
    </w:p>
    <w:tbl>
      <w:tblPr>
        <w:tblStyle w:val="3"/>
        <w:tblW w:w="90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726"/>
        <w:gridCol w:w="1240"/>
        <w:gridCol w:w="1714"/>
        <w:gridCol w:w="1000"/>
        <w:gridCol w:w="1259"/>
        <w:gridCol w:w="18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  <w:jc w:val="center"/>
        </w:trPr>
        <w:tc>
          <w:tcPr>
            <w:tcW w:w="1254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性状</w:t>
            </w:r>
          </w:p>
        </w:tc>
        <w:tc>
          <w:tcPr>
            <w:tcW w:w="72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单位</w:t>
            </w:r>
          </w:p>
        </w:tc>
        <w:tc>
          <w:tcPr>
            <w:tcW w:w="124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评价分级</w:t>
            </w:r>
          </w:p>
        </w:tc>
        <w:tc>
          <w:tcPr>
            <w:tcW w:w="1714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分级标准</w:t>
            </w:r>
          </w:p>
        </w:tc>
        <w:tc>
          <w:tcPr>
            <w:tcW w:w="100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份数</w:t>
            </w:r>
          </w:p>
        </w:tc>
        <w:tc>
          <w:tcPr>
            <w:tcW w:w="125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百分比（%）</w:t>
            </w:r>
          </w:p>
        </w:tc>
        <w:tc>
          <w:tcPr>
            <w:tcW w:w="1883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参考品种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  <w:jc w:val="center"/>
        </w:trPr>
        <w:tc>
          <w:tcPr>
            <w:tcW w:w="1254" w:type="dxa"/>
            <w:vMerge w:val="restart"/>
            <w:vAlign w:val="center"/>
          </w:tcPr>
          <w:p>
            <w:pPr>
              <w:spacing w:line="0" w:lineRule="atLeast"/>
              <w:ind w:firstLine="34"/>
              <w:rPr>
                <w:rFonts w:hint="default" w:ascii="Times New Roman" w:hAnsi="Times New Roman" w:eastAsia="仿宋" w:cs="Times New Roman"/>
                <w:spacing w:val="-8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pacing w:val="-8"/>
                <w:szCs w:val="21"/>
              </w:rPr>
              <w:t>种子：重量</w:t>
            </w: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（性状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  <w:lang w:val="en-US" w:eastAsia="zh-CN"/>
              </w:rPr>
              <w:t>17</w:t>
            </w: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）</w:t>
            </w: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726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g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轻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bidi="ar"/>
              </w:rPr>
              <w:t>≤2.61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  <w:t>57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5</w:t>
            </w:r>
            <w:r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  <w:t>1.8</w:t>
            </w: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2"/>
              </w:rPr>
              <w:t>O×G Amazon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  <w:jc w:val="center"/>
        </w:trPr>
        <w:tc>
          <w:tcPr>
            <w:tcW w:w="125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726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中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bidi="ar"/>
              </w:rPr>
              <w:t>（2.61，4.63）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  <w:t>41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37.</w:t>
            </w:r>
            <w:r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  <w:jc w:val="center"/>
        </w:trPr>
        <w:tc>
          <w:tcPr>
            <w:tcW w:w="125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726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重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bidi="ar"/>
              </w:rPr>
              <w:t>≥4.63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  <w:t>12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10.</w:t>
            </w:r>
            <w:r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2"/>
                <w:lang w:val="en-US" w:eastAsia="zh-CN"/>
              </w:rPr>
              <w:t>Dura×Pisfera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  <w:jc w:val="center"/>
        </w:trPr>
        <w:tc>
          <w:tcPr>
            <w:tcW w:w="1254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Cs w:val="21"/>
              </w:rPr>
              <w:t>种子：横径（性状</w:t>
            </w: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Cs w:val="21"/>
              </w:rPr>
              <w:t>3</w:t>
            </w: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Cs w:val="21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Cs w:val="21"/>
              </w:rPr>
              <w:t>）</w:t>
            </w: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726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cm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短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bidi="ar"/>
              </w:rPr>
              <w:t>≤1.23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  <w:t>46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41.8%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Bamenda×Ekona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  <w:jc w:val="center"/>
        </w:trPr>
        <w:tc>
          <w:tcPr>
            <w:tcW w:w="125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726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中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bidi="ar"/>
              </w:rPr>
              <w:t>（1.23,1.43）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  <w:t>57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51.</w:t>
            </w:r>
            <w:r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Deli×Ghana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  <w:jc w:val="center"/>
        </w:trPr>
        <w:tc>
          <w:tcPr>
            <w:tcW w:w="125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726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长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bidi="ar"/>
              </w:rPr>
              <w:t>≥1.43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  <w:t>7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6.</w:t>
            </w:r>
            <w:r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Dura×Pisfera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  <w:jc w:val="center"/>
        </w:trPr>
        <w:tc>
          <w:tcPr>
            <w:tcW w:w="1254" w:type="dxa"/>
            <w:vMerge w:val="restart"/>
            <w:vAlign w:val="center"/>
          </w:tcPr>
          <w:p>
            <w:pPr>
              <w:spacing w:line="0" w:lineRule="atLeast"/>
              <w:rPr>
                <w:rFonts w:hint="default" w:ascii="Times New Roman" w:hAnsi="Times New Roman" w:eastAsia="仿宋" w:cs="Times New Roman"/>
                <w:spacing w:val="6"/>
                <w:position w:val="6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Cs w:val="21"/>
              </w:rPr>
              <w:t>种子：纵径（性状</w:t>
            </w: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Cs w:val="21"/>
              </w:rPr>
              <w:t>3</w:t>
            </w: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" w:cs="Times New Roman"/>
                <w:spacing w:val="6"/>
                <w:position w:val="6"/>
                <w:szCs w:val="21"/>
              </w:rPr>
              <w:t>）</w:t>
            </w: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726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cm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短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bidi="ar"/>
              </w:rPr>
              <w:t>≤2.04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  <w:t>95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86.4%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Deli×Nigeria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  <w:jc w:val="center"/>
        </w:trPr>
        <w:tc>
          <w:tcPr>
            <w:tcW w:w="125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726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中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bidi="ar"/>
              </w:rPr>
              <w:t>（2.04,2.30）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  <w:t>7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6.</w:t>
            </w:r>
            <w:r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Dura×Pisfera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  <w:jc w:val="center"/>
        </w:trPr>
        <w:tc>
          <w:tcPr>
            <w:tcW w:w="125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</w:p>
        </w:tc>
        <w:tc>
          <w:tcPr>
            <w:tcW w:w="726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iCs/>
                <w:szCs w:val="21"/>
              </w:rPr>
              <w:t>长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bidi="ar"/>
              </w:rPr>
              <w:t>≥2.30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  <w:t>8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Cs/>
                <w:szCs w:val="21"/>
                <w:lang w:val="en-US" w:eastAsia="zh-CN"/>
              </w:rPr>
              <w:t>7.2</w:t>
            </w:r>
            <w:r>
              <w:rPr>
                <w:rFonts w:hint="default" w:ascii="Times New Roman" w:hAnsi="Times New Roman" w:eastAsia="宋体" w:cs="Times New Roman"/>
                <w:iCs/>
                <w:szCs w:val="21"/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Bamenda×Ekona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  <w:jc w:val="center"/>
        </w:trPr>
        <w:tc>
          <w:tcPr>
            <w:tcW w:w="1254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Cs w:val="21"/>
                <w14:textFill>
                  <w14:solidFill>
                    <w14:schemeClr w14:val="tx1"/>
                  </w14:solidFill>
                </w14:textFill>
              </w:rPr>
              <w:t>种子：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种仁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Cs w:val="21"/>
                <w14:textFill>
                  <w14:solidFill>
                    <w14:schemeClr w14:val="tx1"/>
                  </w14:solidFill>
                </w14:textFill>
              </w:rPr>
              <w:t>含油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率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Cs w:val="21"/>
                <w14:textFill>
                  <w14:solidFill>
                    <w14:schemeClr w14:val="tx1"/>
                  </w14:solidFill>
                </w14:textFill>
              </w:rPr>
              <w:t>（性状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pacing w:val="6"/>
                <w:position w:val="6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6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≤3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14.6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O×G Amazon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  <w:jc w:val="center"/>
        </w:trPr>
        <w:tc>
          <w:tcPr>
            <w:tcW w:w="125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6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低到中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,4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21.8%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  <w:jc w:val="center"/>
        </w:trPr>
        <w:tc>
          <w:tcPr>
            <w:tcW w:w="125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6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中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,4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31.8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  <w:jc w:val="center"/>
        </w:trPr>
        <w:tc>
          <w:tcPr>
            <w:tcW w:w="125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6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中</w:t>
            </w: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到高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43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,4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18.2%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exact"/>
          <w:jc w:val="center"/>
        </w:trPr>
        <w:tc>
          <w:tcPr>
            <w:tcW w:w="125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6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高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≥4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default" w:ascii="Times New Roman" w:hAnsi="Times New Roman" w:eastAsia="宋体" w:cs="Times New Roman"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Deli×Ghana</w:t>
            </w:r>
          </w:p>
        </w:tc>
      </w:tr>
    </w:tbl>
    <w:p>
      <w:pPr>
        <w:rPr>
          <w:rFonts w:hint="default" w:ascii="Times New Roman" w:hAnsi="Times New Roman" w:eastAsia="仿宋" w:cs="Times New Roman"/>
          <w:sz w:val="28"/>
          <w:szCs w:val="28"/>
        </w:rPr>
      </w:pPr>
    </w:p>
    <w:tbl>
      <w:tblPr>
        <w:tblStyle w:val="4"/>
        <w:tblW w:w="85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spacing w:line="360" w:lineRule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566670" cy="1494790"/>
                  <wp:effectExtent l="0" t="0" r="5080" b="10160"/>
                  <wp:docPr id="81" name="图表 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9"/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pacing w:line="360" w:lineRule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687955" cy="1547495"/>
                  <wp:effectExtent l="0" t="0" r="17145" b="14605"/>
                  <wp:docPr id="31" name="图表 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0"/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spacing w:line="360" w:lineRule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566670" cy="1526540"/>
                  <wp:effectExtent l="0" t="0" r="5080" b="16510"/>
                  <wp:docPr id="87" name="图表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1"/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pacing w:line="360" w:lineRule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566670" cy="1503045"/>
                  <wp:effectExtent l="0" t="0" r="5080" b="1905"/>
                  <wp:docPr id="92" name="图表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2"/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 w:ascii="Times New Roman" w:hAnsi="Times New Roman" w:eastAsia="仿宋" w:cs="Times New Roman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仿宋" w:cs="Times New Roman"/>
          <w:b/>
          <w:bCs/>
          <w:szCs w:val="21"/>
        </w:rPr>
        <w:t>图</w:t>
      </w:r>
      <w:r>
        <w:rPr>
          <w:rFonts w:hint="default" w:ascii="Times New Roman" w:hAnsi="Times New Roman" w:eastAsia="仿宋" w:cs="Times New Roman"/>
          <w:b/>
          <w:bCs/>
          <w:szCs w:val="21"/>
          <w:lang w:val="en-US" w:eastAsia="zh-CN"/>
        </w:rPr>
        <w:t>19</w:t>
      </w:r>
      <w:r>
        <w:rPr>
          <w:rFonts w:hint="default" w:ascii="Times New Roman" w:hAnsi="Times New Roman" w:eastAsia="仿宋" w:cs="Times New Roman"/>
          <w:b/>
          <w:bCs/>
          <w:szCs w:val="21"/>
        </w:rPr>
        <w:t>油棕树种子性状多样性分析图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3、性状筛选及表达状态调整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（1）茎杆直径：通过对多份种质的测量，同一种质的植株的茎杆直径变异较大，茎杆粗细与植株的营养条件、生境条件相关，获得的数据不能真实反映资源特性，建议不纳入指南测试指标。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FF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2）叶片形状和绿色程度：通过对叶片的观测，叶片形状的区分较难，不建议纳入测试指南指标；叶片的绿色程度受土壤、水分、养分、光照等条件的影响，获得的数据较难真实反映资源特性，建议不纳入指南测试指标。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花：通过多份材料的相关性分析，花部的各个性状如花长度、花高度、萼筒长度、唇瓣宽度、唇瓣长度、花冠中裂片长、花冠中裂片宽、花柱长、花丝长、花药长、花药附属物长度等性状均呈显著正相关性，为减少工作量，故花高度、唇瓣宽度、花冠中裂片长、花冠中裂片宽、花柱长、花丝长、花药长、雄蕊长、花药附属物长度建议不纳入指南测试指标。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4、制定过程中遇到的问题与解决方案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）花 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大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多数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油棕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资源在上午太阳光照出来花即可开放，当天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9:00-12:00大部分完成授粉，小部分未授粉的也容易受中午雨水等影响，授粉后小花开始萎蔫，第二天脱落。因此，在授粉后，难以准确观测花的颜色、大小等各指标。因此，观察花的各指标，应该选取当日开放的花朵进行观测，建议上午观察。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）果实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果实脱水后，果实形状、纵径、横径、果皮厚度等各指标均有变化，因此，观测果实各项指标，宜采后尽快测量。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）挥发油含量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油棕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果实不同成熟度挥发油含量不同，随着果实成熟度增加，挥发油含量增加，同时，果实采收后，由于生境、采后处理等多种因素易导致果实含水量不同，而含水量的高低将影响挥发油含量的高低。因此，对挥发油含量的测量，建议选用成熟果实并充分干燥后进行测量。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5、测试指南构成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按照测试中心提供的测试指南模板要求，油棕测试指南由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10个章节和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 xml:space="preserve">3个规范性附录组成，见下表。 </w:t>
      </w:r>
    </w:p>
    <w:p>
      <w:pPr>
        <w:spacing w:line="480" w:lineRule="exact"/>
        <w:ind w:firstLine="420" w:firstLineChars="200"/>
        <w:jc w:val="center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黑体" w:cs="Times New Roman"/>
        </w:rPr>
        <w:t>表</w:t>
      </w:r>
      <w:r>
        <w:rPr>
          <w:rFonts w:hint="default" w:ascii="Times New Roman" w:hAnsi="Times New Roman" w:eastAsia="黑体" w:cs="Times New Roman"/>
          <w:lang w:val="en-US" w:eastAsia="zh-CN"/>
        </w:rPr>
        <w:t>8</w:t>
      </w:r>
      <w:r>
        <w:rPr>
          <w:rFonts w:hint="default" w:ascii="Times New Roman" w:hAnsi="Times New Roman" w:eastAsia="黑体" w:cs="Times New Roman"/>
        </w:rPr>
        <w:t xml:space="preserve"> 油棕新品种DUS测试指南的文本结构</w:t>
      </w:r>
    </w:p>
    <w:tbl>
      <w:tblPr>
        <w:tblStyle w:val="3"/>
        <w:tblW w:w="8814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9"/>
        <w:gridCol w:w="4415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9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章节</w:t>
            </w:r>
          </w:p>
        </w:tc>
        <w:tc>
          <w:tcPr>
            <w:tcW w:w="44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主要内容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99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</w:t>
            </w:r>
          </w:p>
        </w:tc>
        <w:tc>
          <w:tcPr>
            <w:tcW w:w="4415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范围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</w:t>
            </w:r>
          </w:p>
        </w:tc>
        <w:tc>
          <w:tcPr>
            <w:tcW w:w="44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规范性引用文件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</w:t>
            </w:r>
          </w:p>
        </w:tc>
        <w:tc>
          <w:tcPr>
            <w:tcW w:w="44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术语和定义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4</w:t>
            </w:r>
          </w:p>
        </w:tc>
        <w:tc>
          <w:tcPr>
            <w:tcW w:w="44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符号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5</w:t>
            </w:r>
          </w:p>
        </w:tc>
        <w:tc>
          <w:tcPr>
            <w:tcW w:w="44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繁殖材料的要求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6</w:t>
            </w:r>
          </w:p>
        </w:tc>
        <w:tc>
          <w:tcPr>
            <w:tcW w:w="44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测试方法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7</w:t>
            </w:r>
          </w:p>
        </w:tc>
        <w:tc>
          <w:tcPr>
            <w:tcW w:w="44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特异性、一致性和稳定性</w:t>
            </w:r>
            <w:bookmarkStart w:id="0" w:name="_Toc165446976"/>
            <w:bookmarkStart w:id="1" w:name="_Toc112246962"/>
            <w:r>
              <w:rPr>
                <w:rFonts w:hint="default" w:ascii="Times New Roman" w:hAnsi="Times New Roman" w:cs="Times New Roman"/>
              </w:rPr>
              <w:t>的判定</w:t>
            </w:r>
            <w:bookmarkEnd w:id="0"/>
            <w:bookmarkEnd w:id="1"/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8</w:t>
            </w:r>
          </w:p>
        </w:tc>
        <w:tc>
          <w:tcPr>
            <w:tcW w:w="44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性状表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9</w:t>
            </w:r>
          </w:p>
        </w:tc>
        <w:tc>
          <w:tcPr>
            <w:tcW w:w="44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分组性状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10</w:t>
            </w:r>
          </w:p>
        </w:tc>
        <w:tc>
          <w:tcPr>
            <w:tcW w:w="44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技术问卷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附录A</w:t>
            </w:r>
          </w:p>
        </w:tc>
        <w:tc>
          <w:tcPr>
            <w:tcW w:w="44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eastAsia="zh-CN"/>
              </w:rPr>
              <w:t>油棕</w:t>
            </w:r>
            <w:r>
              <w:rPr>
                <w:rFonts w:hint="default" w:ascii="Times New Roman" w:hAnsi="Times New Roman" w:cs="Times New Roman"/>
              </w:rPr>
              <w:t>性状表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附录B</w:t>
            </w:r>
          </w:p>
        </w:tc>
        <w:tc>
          <w:tcPr>
            <w:tcW w:w="44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eastAsia="zh-CN"/>
              </w:rPr>
              <w:t>油棕</w:t>
            </w:r>
            <w:r>
              <w:rPr>
                <w:rFonts w:hint="default" w:ascii="Times New Roman" w:hAnsi="Times New Roman" w:cs="Times New Roman"/>
              </w:rPr>
              <w:t>性状表的解释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99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附录C</w:t>
            </w:r>
          </w:p>
        </w:tc>
        <w:tc>
          <w:tcPr>
            <w:tcW w:w="441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autoSpaceDE w:val="0"/>
              <w:autoSpaceDN w:val="0"/>
              <w:snapToGrid w:val="0"/>
              <w:spacing w:line="360" w:lineRule="auto"/>
              <w:ind w:firstLine="420" w:firstLineChars="2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eastAsia="zh-CN"/>
              </w:rPr>
              <w:t>油棕</w:t>
            </w:r>
            <w:r>
              <w:rPr>
                <w:rFonts w:hint="default" w:ascii="Times New Roman" w:hAnsi="Times New Roman" w:cs="Times New Roman"/>
              </w:rPr>
              <w:t>技术问卷格式</w:t>
            </w:r>
          </w:p>
        </w:tc>
      </w:tr>
    </w:tbl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FF0000"/>
          <w:sz w:val="28"/>
          <w:szCs w:val="28"/>
        </w:rPr>
      </w:pPr>
    </w:p>
    <w:p>
      <w:pPr>
        <w:numPr>
          <w:ilvl w:val="0"/>
          <w:numId w:val="5"/>
        </w:num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指南性状</w:t>
      </w:r>
    </w:p>
    <w:p>
      <w:pPr>
        <w:numPr>
          <w:ilvl w:val="0"/>
          <w:numId w:val="0"/>
        </w:num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根据数据观测和分析，选取了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24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个性状，包括质量性状、假质量性状和数量性状，主要为：</w:t>
      </w:r>
    </w:p>
    <w:p>
      <w:pPr>
        <w:numPr>
          <w:ilvl w:val="0"/>
          <w:numId w:val="0"/>
        </w:num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（1）质量性状(QL)：共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个。分别为：QL1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0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果实：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eastAsia="zh-CN"/>
        </w:rPr>
        <w:t>类型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；QL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15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果实：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eastAsia="zh-CN"/>
        </w:rPr>
        <w:t>种仁数量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。</w:t>
      </w:r>
    </w:p>
    <w:p>
      <w:pPr>
        <w:numPr>
          <w:ilvl w:val="0"/>
          <w:numId w:val="0"/>
        </w:num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（2）假质量性状(PQ)：共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个。分别为：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PQ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1植株：株型；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PQ4叶：叶柄颜色；PQ11果实：颜色；PQ16果实：中果皮颜色。</w:t>
      </w:r>
    </w:p>
    <w:p>
      <w:pPr>
        <w:numPr>
          <w:ilvl w:val="0"/>
          <w:numId w:val="0"/>
        </w:num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  <w:lang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（3）数量性状(QN)：共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18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个。分别为：Q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N2植株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eastAsia="zh-CN"/>
        </w:rPr>
        <w:t>茎高度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；Q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N3植株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eastAsia="zh-CN"/>
        </w:rPr>
        <w:t>树干围茎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；Q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N5叶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eastAsia="zh-CN"/>
        </w:rPr>
        <w:t>叶柄密度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；Q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N6果穗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eastAsia="zh-CN"/>
        </w:rPr>
        <w:t>柄长度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；Q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N7果穗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eastAsia="zh-CN"/>
        </w:rPr>
        <w:t>刺长度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；Q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N8果穗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eastAsia="zh-CN"/>
        </w:rPr>
        <w:t>刺密度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；Q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N9果穗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eastAsia="zh-CN"/>
        </w:rPr>
        <w:t>重量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；Q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N12果实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eastAsia="zh-CN"/>
        </w:rPr>
        <w:t>重量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；Q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N13果实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eastAsia="zh-CN"/>
        </w:rPr>
        <w:t>横径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；Q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N14果实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eastAsia="zh-CN"/>
        </w:rPr>
        <w:t>纵径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；Q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N17种子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eastAsia="zh-CN"/>
        </w:rPr>
        <w:t>重量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；Q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N18种子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eastAsia="zh-CN"/>
        </w:rPr>
        <w:t>横径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；Q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N19种子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eastAsia="zh-CN"/>
        </w:rPr>
        <w:t>横径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；Q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N20果穗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eastAsia="zh-CN"/>
        </w:rPr>
        <w:t>出油率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；Q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N21果实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：中果皮占果实重量比例；Q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N22果实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：中果皮含油率；Q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N23果实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：不饱和脂肪酸含量；Q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N24种子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eastAsia="zh-CN"/>
        </w:rPr>
        <w:t>种仁含油率。</w:t>
      </w:r>
    </w:p>
    <w:p>
      <w:pPr>
        <w:spacing w:line="560" w:lineRule="exact"/>
        <w:ind w:firstLine="640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Cs/>
          <w:sz w:val="32"/>
          <w:szCs w:val="32"/>
        </w:rPr>
        <w:t>三、主要试验（或验证）的分析、综述报告，技术经济论证，预期的经济结果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对国内外油棕栽培种群和野生资源进行广泛调查，收集了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101多份种质保存于种质圃，建立了油棕种质资源圃。开展了油棕种质资源鉴定评价研究，确定了油棕种质资源鉴定评价指标，研制了油棕种质资源描述规范和数据质量控制规范，对收集保存的油棕种质资源进行植物学性状、农艺性状、品质性状及分子生物学等鉴定和评价，结果表明油棕种质资源具有较为丰富的遗传多样性。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油棕DUS测试指南的制定，将为油棕优良品种选育提供依据，同时也能更好的推动和维护我国油棕产业的安全发展。</w:t>
      </w:r>
    </w:p>
    <w:p>
      <w:pPr>
        <w:spacing w:line="560" w:lineRule="exact"/>
        <w:ind w:firstLine="640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Cs/>
          <w:sz w:val="32"/>
          <w:szCs w:val="32"/>
        </w:rPr>
        <w:t>四、采用国际标准和国外先进标准的程度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国际植物新品种保护联盟（简称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UPOV）尚无该属指南（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TG/181/3），其他国家也未颁布相应的测试指南。本指南的编制参照了《植物新品种特异性、一致性和稳定性测试指南 总则》（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GB/T 19557.1-2004） 的相关要求，并参考了</w:t>
      </w:r>
      <w:r>
        <w:rPr>
          <w:rFonts w:hint="default" w:ascii="Times New Roman" w:hAnsi="Times New Roman" w:eastAsia="仿宋" w:cs="Times New Roman"/>
          <w:sz w:val="28"/>
          <w:szCs w:val="28"/>
        </w:rPr>
        <w:t>2012版马来西亚油棕</w:t>
      </w:r>
      <w:r>
        <w:rPr>
          <w:rFonts w:hint="default" w:ascii="Times New Roman" w:hAnsi="Times New Roman" w:eastAsia="仿宋" w:cs="Times New Roman"/>
          <w:sz w:val="28"/>
          <w:szCs w:val="28"/>
        </w:rPr>
        <w:t>DUS测试指南</w:t>
      </w:r>
      <w:r>
        <w:rPr>
          <w:rFonts w:hint="default" w:ascii="Times New Roman" w:hAnsi="Times New Roman" w:eastAsia="仿宋" w:cs="Times New Roman"/>
          <w:sz w:val="28"/>
          <w:szCs w:val="28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28"/>
          <w:szCs w:val="28"/>
        </w:rPr>
        <w:t>UPOV的椰子</w:t>
      </w:r>
      <w:r>
        <w:rPr>
          <w:rFonts w:hint="default" w:ascii="Times New Roman" w:hAnsi="Times New Roman" w:eastAsia="仿宋" w:cs="Times New Roman"/>
          <w:sz w:val="28"/>
          <w:szCs w:val="28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28"/>
          <w:szCs w:val="28"/>
        </w:rPr>
        <w:t>橡胶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等植物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DUS指南，结合油棕的实际情况进行油棕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DUS测试指南的编制。</w:t>
      </w:r>
    </w:p>
    <w:p>
      <w:pPr>
        <w:spacing w:line="560" w:lineRule="exact"/>
        <w:ind w:firstLine="640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Cs/>
          <w:sz w:val="32"/>
          <w:szCs w:val="32"/>
        </w:rPr>
        <w:t>五、与有关的现行法律法规和强制性标准的关系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在本标准的制订过程中，严格贯彻国家有关方针、政策、法律和规章等，严格执行强制性国家标准和行业标准；与相关的各种基础标准相衔接，遵循了政策性和协调统一性的原则。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本标准与有关的现行法律、法规和强制性标准不存在冲突。</w:t>
      </w:r>
    </w:p>
    <w:p>
      <w:pPr>
        <w:spacing w:line="560" w:lineRule="exact"/>
        <w:ind w:firstLine="640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Cs/>
          <w:sz w:val="32"/>
          <w:szCs w:val="32"/>
        </w:rPr>
        <w:t>六、重大分歧意见的处理经过和依据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为了使指南更具可操作性，测试性状更具全面性、代表性和实用性，按照指南研制的要求，20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23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 xml:space="preserve">年将《植物品种特异性、一致性和稳定性测试指南  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油棕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》（征求意见稿）进行了函审，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共征求了</w: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</w:rPr>
        <w:t>热科院橡胶所、热科院品资所、热科院</w: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生物</w: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</w:rPr>
        <w:t>所、热科院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南亚所</w: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</w:rPr>
        <w:t>、热科院</w: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环植</w: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</w:rPr>
        <w:t>所、海南大学热带农林学院、海南省农垦科学院、海南省林业总公司、</w: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val="en-US" w:eastAsia="zh-CN"/>
        </w:rPr>
        <w:t>海南省林业科</w:t>
      </w:r>
      <w:bookmarkStart w:id="2" w:name="_GoBack"/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学研究院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</w:rPr>
        <w:t>、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热科院热带生物技术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</w:rPr>
        <w:t>研究所、广东省农垦总局、广西壮族自治区亚热带作物研究所、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</w:rPr>
        <w:fldChar w:fldCharType="begin"/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</w:rPr>
        <w:instrText xml:space="preserve">HYPERLINK "https://www.baidu.com/link?url=U5ZczBFY8f9jeHudR4_e1IAd-RarLLmu4U1y80Uh-cq&amp;wd=&amp;eqid=877c68fd00059b540000000658f55c65"</w:instrTex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</w:rPr>
        <w:fldChar w:fldCharType="separate"/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</w:rPr>
        <w:t>云南省农业科学院热带亚热带作物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经济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</w:rPr>
        <w:t>研究所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</w:rPr>
        <w:fldChar w:fldCharType="end"/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</w:rPr>
        <w:t>、云南省热带作物科学研究所、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云南农业大学等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科研院所、大学、测试机构等单位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16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位专家的意见和建议，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16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位专家反馈了共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162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条修改建议，采纳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141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条，不采纳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21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条。对专家提出的意见和建议进行了整理，并对征求意见稿进行了修改补充。</w:t>
      </w:r>
    </w:p>
    <w:bookmarkEnd w:id="2"/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本测试指南制定过程中尚未出现重大分歧意见。</w:t>
      </w:r>
    </w:p>
    <w:p>
      <w:pPr>
        <w:spacing w:line="560" w:lineRule="exact"/>
        <w:ind w:firstLine="640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Cs/>
          <w:sz w:val="32"/>
          <w:szCs w:val="32"/>
        </w:rPr>
        <w:t>七、标准作为强制性或推荐性标准发布的意见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本标准不涉及有关国家安全、保护人体健康和人身财产安全、环境质量要求等有关强制性标准或强制性条文等的八项要求之一，因此，建议将其作为推荐性标准颁布实施。</w:t>
      </w:r>
    </w:p>
    <w:p>
      <w:pPr>
        <w:spacing w:line="560" w:lineRule="exact"/>
        <w:ind w:firstLine="640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Cs/>
          <w:sz w:val="32"/>
          <w:szCs w:val="32"/>
        </w:rPr>
        <w:t>八、贯彻标准的要求和措施建议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标准发布实施后，建议对相关机构和相关实施单位的技术人员开展标准培训工作；借助相关机构和实施单位在品种和技术推广机会，加强对本标准的宣传，鼓励申报品种保护；根据标准实施情况，适时对本标准进行修订和完善。</w:t>
      </w:r>
    </w:p>
    <w:p>
      <w:pPr>
        <w:spacing w:line="560" w:lineRule="exact"/>
        <w:ind w:firstLine="640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Cs/>
          <w:sz w:val="32"/>
          <w:szCs w:val="32"/>
        </w:rPr>
        <w:t>九、废止现行有关标准的建议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无。</w:t>
      </w:r>
    </w:p>
    <w:p>
      <w:pPr>
        <w:spacing w:line="560" w:lineRule="exact"/>
        <w:ind w:firstLine="640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Cs/>
          <w:sz w:val="32"/>
          <w:szCs w:val="32"/>
        </w:rPr>
        <w:t>十、其它需要说明的事项</w:t>
      </w:r>
    </w:p>
    <w:p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无。</w:t>
      </w:r>
    </w:p>
    <w:p>
      <w:pPr>
        <w:spacing w:line="480" w:lineRule="exact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</w:p>
    <w:p>
      <w:pPr>
        <w:spacing w:line="560" w:lineRule="exact"/>
        <w:rPr>
          <w:rFonts w:hint="default" w:ascii="Times New Roman" w:hAnsi="Times New Roman" w:eastAsia="黑体" w:cs="Times New Roman"/>
          <w:bCs/>
          <w:szCs w:val="21"/>
        </w:rPr>
      </w:pPr>
      <w:r>
        <w:rPr>
          <w:rFonts w:hint="default" w:ascii="Times New Roman" w:hAnsi="Times New Roman" w:eastAsia="黑体" w:cs="Times New Roman"/>
          <w:bCs/>
          <w:szCs w:val="21"/>
        </w:rPr>
        <w:t>主要参考文献</w:t>
      </w:r>
    </w:p>
    <w:p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hint="default" w:ascii="Times New Roman" w:hAnsi="Times New Roman" w:eastAsia="仿宋_GB2312" w:cs="Times New Roman"/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>唐浩. 植物新品种特异性、一致性、稳定性测试总论[M]. 北京: 中国农业出版社, 2017.</w:t>
      </w:r>
    </w:p>
    <w:p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>国家市场管理监督总局&amp;国家标准化管理委员会. GB/T 1.1-2020, 标准化工作导则 第1部分: 标准化文件的结构和起草规则[S]. 北京: 中国标准出版社, 2020: 1-66.</w:t>
      </w:r>
    </w:p>
    <w:p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>农业部科技发展中心. GB/T 19557.1—2004, 植物新品种特异性、一致性和稳定性测试指南总则[S]. 北京: 中国农业出版社, 2004: 1-20.</w:t>
      </w:r>
    </w:p>
    <w:p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>UPOV, TGP/7/1 Examining distinctness[S]. Geneva, Switzerland: UPOV, 2004.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0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[5]  </w:t>
      </w:r>
      <w:r>
        <w:rPr>
          <w:rFonts w:hint="default" w:ascii="Times New Roman" w:hAnsi="Times New Roman" w:cs="Times New Roman"/>
          <w:sz w:val="21"/>
          <w:szCs w:val="21"/>
          <w:lang w:val="en-GB"/>
        </w:rPr>
        <w:t>中华人民共和国农业农村部. NY/T 3511-2019, 植物品种特异性(可区别性)、一致性和稳定性测试指南编写规则</w:t>
      </w:r>
      <w:r>
        <w:rPr>
          <w:rFonts w:hint="default" w:ascii="Times New Roman" w:hAnsi="Times New Roman" w:cs="Times New Roman"/>
          <w:sz w:val="21"/>
          <w:szCs w:val="21"/>
        </w:rPr>
        <w:t>[</w:t>
      </w:r>
      <w:r>
        <w:rPr>
          <w:rFonts w:hint="default" w:ascii="Times New Roman" w:hAnsi="Times New Roman" w:cs="Times New Roman"/>
          <w:sz w:val="21"/>
          <w:szCs w:val="21"/>
          <w:lang w:val="en-GB"/>
        </w:rPr>
        <w:t>S]. 北京: 中国农业出版社, 2020: 1-26.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413755"/>
    <w:multiLevelType w:val="singleLevel"/>
    <w:tmpl w:val="9B413755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51D0C55"/>
    <w:multiLevelType w:val="singleLevel"/>
    <w:tmpl w:val="051D0C55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259E5D03"/>
    <w:multiLevelType w:val="multilevel"/>
    <w:tmpl w:val="259E5D03"/>
    <w:lvl w:ilvl="0" w:tentative="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3D48CC3"/>
    <w:multiLevelType w:val="singleLevel"/>
    <w:tmpl w:val="33D48CC3"/>
    <w:lvl w:ilvl="0" w:tentative="0">
      <w:start w:val="6"/>
      <w:numFmt w:val="decimal"/>
      <w:suff w:val="nothing"/>
      <w:lvlText w:val="%1、"/>
      <w:lvlJc w:val="left"/>
    </w:lvl>
  </w:abstractNum>
  <w:abstractNum w:abstractNumId="4">
    <w:nsid w:val="48802D1C"/>
    <w:multiLevelType w:val="multilevel"/>
    <w:tmpl w:val="48802D1C"/>
    <w:lvl w:ilvl="0" w:tentative="0">
      <w:start w:val="1"/>
      <w:numFmt w:val="upperLetter"/>
      <w:lvlText w:val="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pStyle w:val="10"/>
      <w:suff w:val="space"/>
      <w:lvlText w:val="图%1.%2"/>
      <w:lvlJc w:val="center"/>
      <w:pPr>
        <w:ind w:left="0" w:firstLine="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5">
    <w:nsid w:val="72C52BA8"/>
    <w:multiLevelType w:val="singleLevel"/>
    <w:tmpl w:val="72C52BA8"/>
    <w:lvl w:ilvl="0" w:tentative="0">
      <w:start w:val="2"/>
      <w:numFmt w:val="decimal"/>
      <w:suff w:val="nothing"/>
      <w:lvlText w:val="%1、"/>
      <w:lvlJc w:val="left"/>
      <w:pPr>
        <w:ind w:left="-14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iNzUyY2NlNjZmOTk2YTQyNDVkYmE0NGVmNTY2NWYifQ=="/>
  </w:docVars>
  <w:rsids>
    <w:rsidRoot w:val="43DC2007"/>
    <w:rsid w:val="001824E6"/>
    <w:rsid w:val="00231385"/>
    <w:rsid w:val="004B02CA"/>
    <w:rsid w:val="007C054D"/>
    <w:rsid w:val="00C6677C"/>
    <w:rsid w:val="00E36546"/>
    <w:rsid w:val="00EB4DF6"/>
    <w:rsid w:val="03236A5F"/>
    <w:rsid w:val="03A17955"/>
    <w:rsid w:val="051F63CA"/>
    <w:rsid w:val="08D56A3C"/>
    <w:rsid w:val="0CA57F19"/>
    <w:rsid w:val="111357E1"/>
    <w:rsid w:val="12204AA7"/>
    <w:rsid w:val="184A5F3A"/>
    <w:rsid w:val="18801E67"/>
    <w:rsid w:val="18F37D38"/>
    <w:rsid w:val="1FFC5F38"/>
    <w:rsid w:val="21AD0528"/>
    <w:rsid w:val="22260DD3"/>
    <w:rsid w:val="23F35E4C"/>
    <w:rsid w:val="272E3353"/>
    <w:rsid w:val="29B53FFD"/>
    <w:rsid w:val="30277A3F"/>
    <w:rsid w:val="312F7062"/>
    <w:rsid w:val="37D8143C"/>
    <w:rsid w:val="394422C3"/>
    <w:rsid w:val="3A6A2984"/>
    <w:rsid w:val="3E3C4F0D"/>
    <w:rsid w:val="41742029"/>
    <w:rsid w:val="43DC2007"/>
    <w:rsid w:val="47B93346"/>
    <w:rsid w:val="494F3769"/>
    <w:rsid w:val="49912C8C"/>
    <w:rsid w:val="4B5F4780"/>
    <w:rsid w:val="4DED276A"/>
    <w:rsid w:val="4E344737"/>
    <w:rsid w:val="5A8C0023"/>
    <w:rsid w:val="6675322D"/>
    <w:rsid w:val="67DE3248"/>
    <w:rsid w:val="6B5E525C"/>
    <w:rsid w:val="6D5C243F"/>
    <w:rsid w:val="748F47C8"/>
    <w:rsid w:val="765500DA"/>
    <w:rsid w:val="78264FF8"/>
    <w:rsid w:val="7E7D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封面标准名称"/>
    <w:autoRedefine/>
    <w:qFormat/>
    <w:uiPriority w:val="0"/>
    <w:pPr>
      <w:framePr w:w="9638" w:h="6917" w:hRule="exact" w:wrap="around" w:vAnchor="margin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eastAsia="黑体" w:hAnsiTheme="minorHAnsi" w:cstheme="minorBidi"/>
      <w:sz w:val="52"/>
      <w:lang w:val="en-US" w:eastAsia="zh-CN" w:bidi="ar-SA"/>
    </w:rPr>
  </w:style>
  <w:style w:type="paragraph" w:customStyle="1" w:styleId="7">
    <w:name w:val="标准文件_表格"/>
    <w:basedOn w:val="8"/>
    <w:autoRedefine/>
    <w:qFormat/>
    <w:uiPriority w:val="0"/>
    <w:pPr>
      <w:ind w:firstLine="0" w:firstLineChars="0"/>
      <w:jc w:val="center"/>
    </w:pPr>
    <w:rPr>
      <w:sz w:val="18"/>
    </w:rPr>
  </w:style>
  <w:style w:type="paragraph" w:customStyle="1" w:styleId="8">
    <w:name w:val="标准文件_段"/>
    <w:autoRedefine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9">
    <w:name w:val="段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  <w:style w:type="paragraph" w:customStyle="1" w:styleId="10">
    <w:name w:val="标准文件_附录图标题"/>
    <w:next w:val="8"/>
    <w:autoRedefine/>
    <w:qFormat/>
    <w:uiPriority w:val="0"/>
    <w:pPr>
      <w:numPr>
        <w:ilvl w:val="1"/>
        <w:numId w:val="1"/>
      </w:numPr>
      <w:adjustRightInd w:val="0"/>
      <w:snapToGrid w:val="0"/>
      <w:spacing w:before="50" w:beforeLines="50" w:after="50" w:afterLines="50"/>
      <w:jc w:val="center"/>
    </w:pPr>
    <w:rPr>
      <w:rFonts w:ascii="黑体" w:hAnsi="Times New Roman" w:eastAsia="黑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4" Type="http://schemas.openxmlformats.org/officeDocument/2006/relationships/fontTable" Target="fontTable.xml"/><Relationship Id="rId73" Type="http://schemas.openxmlformats.org/officeDocument/2006/relationships/numbering" Target="numbering.xml"/><Relationship Id="rId72" Type="http://schemas.openxmlformats.org/officeDocument/2006/relationships/chart" Target="charts/chart16.xml"/><Relationship Id="rId71" Type="http://schemas.openxmlformats.org/officeDocument/2006/relationships/chart" Target="charts/chart15.xml"/><Relationship Id="rId70" Type="http://schemas.openxmlformats.org/officeDocument/2006/relationships/chart" Target="charts/chart14.xml"/><Relationship Id="rId7" Type="http://schemas.openxmlformats.org/officeDocument/2006/relationships/image" Target="media/image4.jpeg"/><Relationship Id="rId69" Type="http://schemas.openxmlformats.org/officeDocument/2006/relationships/chart" Target="charts/chart13.xml"/><Relationship Id="rId68" Type="http://schemas.openxmlformats.org/officeDocument/2006/relationships/image" Target="media/image53.jpeg"/><Relationship Id="rId67" Type="http://schemas.openxmlformats.org/officeDocument/2006/relationships/image" Target="media/image52.jpeg"/><Relationship Id="rId66" Type="http://schemas.openxmlformats.org/officeDocument/2006/relationships/image" Target="media/image51.jpeg"/><Relationship Id="rId65" Type="http://schemas.openxmlformats.org/officeDocument/2006/relationships/image" Target="media/image50.jpeg"/><Relationship Id="rId64" Type="http://schemas.openxmlformats.org/officeDocument/2006/relationships/image" Target="media/image49.jpeg"/><Relationship Id="rId63" Type="http://schemas.openxmlformats.org/officeDocument/2006/relationships/image" Target="media/image48.jpeg"/><Relationship Id="rId62" Type="http://schemas.openxmlformats.org/officeDocument/2006/relationships/image" Target="media/image47.jpeg"/><Relationship Id="rId61" Type="http://schemas.openxmlformats.org/officeDocument/2006/relationships/image" Target="media/image46.jpeg"/><Relationship Id="rId60" Type="http://schemas.openxmlformats.org/officeDocument/2006/relationships/image" Target="media/image45.jpeg"/><Relationship Id="rId6" Type="http://schemas.openxmlformats.org/officeDocument/2006/relationships/image" Target="media/image3.png"/><Relationship Id="rId59" Type="http://schemas.openxmlformats.org/officeDocument/2006/relationships/image" Target="media/image44.jpeg"/><Relationship Id="rId58" Type="http://schemas.openxmlformats.org/officeDocument/2006/relationships/image" Target="media/image43.jpeg"/><Relationship Id="rId57" Type="http://schemas.openxmlformats.org/officeDocument/2006/relationships/image" Target="media/image42.png"/><Relationship Id="rId56" Type="http://schemas.openxmlformats.org/officeDocument/2006/relationships/image" Target="media/image41.jpeg"/><Relationship Id="rId55" Type="http://schemas.openxmlformats.org/officeDocument/2006/relationships/image" Target="media/image40.jpeg"/><Relationship Id="rId54" Type="http://schemas.openxmlformats.org/officeDocument/2006/relationships/chart" Target="charts/chart12.xml"/><Relationship Id="rId53" Type="http://schemas.openxmlformats.org/officeDocument/2006/relationships/chart" Target="charts/chart11.xml"/><Relationship Id="rId52" Type="http://schemas.openxmlformats.org/officeDocument/2006/relationships/chart" Target="charts/chart10.xml"/><Relationship Id="rId51" Type="http://schemas.openxmlformats.org/officeDocument/2006/relationships/chart" Target="charts/chart9.xml"/><Relationship Id="rId50" Type="http://schemas.openxmlformats.org/officeDocument/2006/relationships/chart" Target="charts/chart8.xml"/><Relationship Id="rId5" Type="http://schemas.openxmlformats.org/officeDocument/2006/relationships/image" Target="media/image2.png"/><Relationship Id="rId49" Type="http://schemas.openxmlformats.org/officeDocument/2006/relationships/chart" Target="charts/chart7.xml"/><Relationship Id="rId48" Type="http://schemas.openxmlformats.org/officeDocument/2006/relationships/image" Target="media/image39.jpeg"/><Relationship Id="rId47" Type="http://schemas.openxmlformats.org/officeDocument/2006/relationships/image" Target="media/image38.jpeg"/><Relationship Id="rId46" Type="http://schemas.openxmlformats.org/officeDocument/2006/relationships/image" Target="media/image37.jpeg"/><Relationship Id="rId45" Type="http://schemas.openxmlformats.org/officeDocument/2006/relationships/chart" Target="charts/chart6.xml"/><Relationship Id="rId44" Type="http://schemas.openxmlformats.org/officeDocument/2006/relationships/chart" Target="charts/chart5.xml"/><Relationship Id="rId43" Type="http://schemas.openxmlformats.org/officeDocument/2006/relationships/chart" Target="charts/chart4.xml"/><Relationship Id="rId42" Type="http://schemas.openxmlformats.org/officeDocument/2006/relationships/chart" Target="charts/chart3.xml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image" Target="media/image1.png"/><Relationship Id="rId39" Type="http://schemas.openxmlformats.org/officeDocument/2006/relationships/image" Target="media/image34.jpeg"/><Relationship Id="rId38" Type="http://schemas.openxmlformats.org/officeDocument/2006/relationships/chart" Target="charts/chart2.xml"/><Relationship Id="rId37" Type="http://schemas.openxmlformats.org/officeDocument/2006/relationships/chart" Target="charts/chart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4.xml"/><Relationship Id="rId2" Type="http://schemas.microsoft.com/office/2011/relationships/chartStyle" Target="style14.xml"/><Relationship Id="rId1" Type="http://schemas.openxmlformats.org/officeDocument/2006/relationships/oleObject" Target="&#24037;&#20316;&#31807;1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oleObject" Target="file:///C:\Users\L\Desktop\&#24037;&#20316;&#31807;1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E:\&#27833;&#26837;\&#31185;&#23460;&#26448;&#26009;\2024&#27833;&#26837;&#34892;&#26631;\&#26609;&#29366;&#22270;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microsoft.com/office/2011/relationships/chartColorStyle" Target="colors8.xml"/><Relationship Id="rId2" Type="http://schemas.microsoft.com/office/2011/relationships/chartStyle" Target="style8.xml"/><Relationship Id="rId1" Type="http://schemas.openxmlformats.org/officeDocument/2006/relationships/oleObject" Target="file:///C:\Users\L\Desktop\&#24037;&#20316;&#31807;1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microsoft.com/office/2011/relationships/chartColorStyle" Target="colors11.xml"/><Relationship Id="rId2" Type="http://schemas.microsoft.com/office/2011/relationships/chartStyle" Target="style11.xml"/><Relationship Id="rId1" Type="http://schemas.openxmlformats.org/officeDocument/2006/relationships/oleObject" Target="file:///C:\Users\L\Desktop\&#24037;&#20316;&#31807;1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microsoft.com/office/2011/relationships/chartStyle" Target="style6.xml"/><Relationship Id="rId1" Type="http://schemas.openxmlformats.org/officeDocument/2006/relationships/oleObject" Target="file:///E:\&#27833;&#26837;\&#31185;&#23460;&#26448;&#26009;\2024&#27833;&#26837;&#34892;&#26631;\&#26609;&#29366;&#22270;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microsoft.com/office/2011/relationships/chartColorStyle" Target="colors12.xml"/><Relationship Id="rId2" Type="http://schemas.microsoft.com/office/2011/relationships/chartStyle" Target="style12.xml"/><Relationship Id="rId1" Type="http://schemas.openxmlformats.org/officeDocument/2006/relationships/oleObject" Target="file:///C:\Users\L\Desktop\&#24037;&#20316;&#31807;1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microsoft.com/office/2011/relationships/chartColorStyle" Target="colors10.xml"/><Relationship Id="rId2" Type="http://schemas.microsoft.com/office/2011/relationships/chartStyle" Target="style10.xml"/><Relationship Id="rId1" Type="http://schemas.openxmlformats.org/officeDocument/2006/relationships/oleObject" Target="file:///C:\Users\L\Desktop\&#24037;&#20316;&#31807;1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15.xml"/><Relationship Id="rId2" Type="http://schemas.microsoft.com/office/2011/relationships/chartStyle" Target="style15.xml"/><Relationship Id="rId1" Type="http://schemas.openxmlformats.org/officeDocument/2006/relationships/oleObject" Target="&#24037;&#20316;&#31807;1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ColorStyle" Target="colors16.xml"/><Relationship Id="rId2" Type="http://schemas.microsoft.com/office/2011/relationships/chartStyle" Target="style16.xml"/><Relationship Id="rId1" Type="http://schemas.openxmlformats.org/officeDocument/2006/relationships/oleObject" Target="file:///C:\Users\L\Desktop\&#24037;&#20316;&#31807;1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ColorStyle" Target="colors5.xml"/><Relationship Id="rId2" Type="http://schemas.microsoft.com/office/2011/relationships/chartStyle" Target="style5.xml"/><Relationship Id="rId1" Type="http://schemas.openxmlformats.org/officeDocument/2006/relationships/oleObject" Target="file:///C:\Users\L\Desktop\&#24037;&#20316;&#31807;1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E:\&#27833;&#26837;\&#31185;&#23460;&#26448;&#26009;\2024&#27833;&#26837;&#34892;&#26631;\&#26609;&#29366;&#22270;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ColorStyle" Target="colors13.xml"/><Relationship Id="rId2" Type="http://schemas.microsoft.com/office/2011/relationships/chartStyle" Target="style13.xml"/><Relationship Id="rId1" Type="http://schemas.openxmlformats.org/officeDocument/2006/relationships/oleObject" Target="file:///E:\&#27833;&#26837;\&#31185;&#23460;&#26448;&#26009;\2024&#27833;&#26837;&#34892;&#26631;\&#26609;&#29366;&#22270;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C:\Users\L\Desktop\&#24037;&#20316;&#31807;1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microsoft.com/office/2011/relationships/chartColorStyle" Target="colors9.xml"/><Relationship Id="rId2" Type="http://schemas.microsoft.com/office/2011/relationships/chartStyle" Target="style9.xml"/><Relationship Id="rId1" Type="http://schemas.openxmlformats.org/officeDocument/2006/relationships/oleObject" Target="file:///C:\Users\L\Desktop\&#24037;&#20316;&#31807;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file:///C:\Users\L\Desktop\&#24037;&#20316;&#31807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sz="800" b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植株：茎高度</a:t>
            </a:r>
            <a:endParaRPr sz="800" b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3360814742968"/>
          <c:y val="0.200163733115023"/>
          <c:w val="0.831474296799224"/>
          <c:h val="0.5452312730249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[工作簿1]Sheet1!$F$1</c:f>
              <c:strCache>
                <c:ptCount val="1"/>
                <c:pt idx="0">
                  <c:v>株数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6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[工作簿1]Sheet1!$D$2:$E$6</c:f>
              <c:multiLvlStrCache>
                <c:ptCount val="5"/>
                <c:lvl>
                  <c:pt idx="0" c:formatCode="@">
                    <c:v>≤90</c:v>
                  </c:pt>
                  <c:pt idx="1" c:formatCode="@">
                    <c:v>（90,95）</c:v>
                  </c:pt>
                  <c:pt idx="2" c:formatCode="@">
                    <c:v>（95,100）</c:v>
                  </c:pt>
                  <c:pt idx="3" c:formatCode="@">
                    <c:v>（100，105）</c:v>
                  </c:pt>
                  <c:pt idx="4" c:formatCode="@">
                    <c:v>≥105</c:v>
                  </c:pt>
                </c:lvl>
                <c:lvl>
                  <c:pt idx="0">
                    <c:v>矮</c:v>
                  </c:pt>
                  <c:pt idx="1">
                    <c:v>矮到中</c:v>
                  </c:pt>
                  <c:pt idx="2">
                    <c:v>中</c:v>
                  </c:pt>
                  <c:pt idx="3">
                    <c:v>中到高</c:v>
                  </c:pt>
                  <c:pt idx="4">
                    <c:v>高</c:v>
                  </c:pt>
                </c:lvl>
              </c:multiLvlStrCache>
            </c:multiLvlStrRef>
          </c:cat>
          <c:val>
            <c:numRef>
              <c:f>[工作簿1]Sheet1!$F$2:$F$6</c:f>
              <c:numCache>
                <c:formatCode>0.00%</c:formatCode>
                <c:ptCount val="5"/>
                <c:pt idx="0">
                  <c:v>0.182</c:v>
                </c:pt>
                <c:pt idx="1">
                  <c:v>0.227</c:v>
                </c:pt>
                <c:pt idx="2">
                  <c:v>0.355</c:v>
                </c:pt>
                <c:pt idx="3">
                  <c:v>0.127</c:v>
                </c:pt>
                <c:pt idx="4">
                  <c:v>0.109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6"/>
        <c:overlap val="-28"/>
        <c:axId val="273675696"/>
        <c:axId val="830303321"/>
      </c:barChart>
      <c:catAx>
        <c:axId val="27367569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6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茎高度分级（</a:t>
                </a:r>
                <a:r>
                  <a:rPr lang="en-US" altLang="zh-CN"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cm</a:t>
                </a: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）</a:t>
                </a:r>
                <a:endParaRPr sz="6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>
            <c:manualLayout>
              <c:xMode val="edge"/>
              <c:yMode val="edge"/>
              <c:x val="0.441925315227934"/>
              <c:y val="0.910356119525174"/>
            </c:manualLayout>
          </c:layout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30303321"/>
        <c:crosses val="autoZero"/>
        <c:auto val="1"/>
        <c:lblAlgn val="ctr"/>
        <c:lblOffset val="100"/>
        <c:noMultiLvlLbl val="0"/>
      </c:catAx>
      <c:valAx>
        <c:axId val="83030332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样品数量</a:t>
                </a:r>
                <a:r>
                  <a:rPr lang="en-US" altLang="zh-CN"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%</a:t>
                </a:r>
                <a:endParaRPr lang="en-US" altLang="zh-CN" sz="5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7367569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 sz="500">
          <a:solidFill>
            <a:schemeClr val="tx1"/>
          </a:solidFill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sz="800" b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果：中果皮比例</a:t>
            </a:r>
            <a:endParaRPr sz="800" b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endParaRPr>
          </a:p>
        </c:rich>
      </c:tx>
      <c:layout>
        <c:manualLayout>
          <c:xMode val="edge"/>
          <c:yMode val="edge"/>
          <c:x val="0.350048685491723"/>
          <c:y val="0.0119715675271231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39727361246349"/>
          <c:y val="0.149270482603816"/>
          <c:w val="0.780428432327167"/>
          <c:h val="0.590722035166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[工作簿1.xlsx]Sheet1!$F$1</c:f>
              <c:strCache>
                <c:ptCount val="1"/>
                <c:pt idx="0">
                  <c:v>株数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[工作簿1.xlsx]Sheet1!$D$90:$E$92</c:f>
              <c:multiLvlStrCache>
                <c:ptCount val="3"/>
                <c:lvl>
                  <c:pt idx="0">
                    <c:v>≤76.5</c:v>
                  </c:pt>
                  <c:pt idx="1">
                    <c:v>（76.5,83.5）</c:v>
                  </c:pt>
                  <c:pt idx="2">
                    <c:v>≥83.5</c:v>
                  </c:pt>
                </c:lvl>
                <c:lvl>
                  <c:pt idx="0">
                    <c:v>低</c:v>
                  </c:pt>
                  <c:pt idx="1">
                    <c:v>中</c:v>
                  </c:pt>
                  <c:pt idx="2">
                    <c:v>高</c:v>
                  </c:pt>
                </c:lvl>
              </c:multiLvlStrCache>
            </c:multiLvlStrRef>
          </c:cat>
          <c:val>
            <c:numRef>
              <c:f>[工作簿1.xlsx]Sheet1!$F$90:$F$92</c:f>
              <c:numCache>
                <c:formatCode>0.00%</c:formatCode>
                <c:ptCount val="3"/>
                <c:pt idx="0">
                  <c:v>0.164</c:v>
                </c:pt>
                <c:pt idx="1">
                  <c:v>0.664</c:v>
                </c:pt>
                <c:pt idx="2">
                  <c:v>0.172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6"/>
        <c:overlap val="-28"/>
        <c:axId val="273675696"/>
        <c:axId val="830303321"/>
      </c:barChart>
      <c:catAx>
        <c:axId val="27367569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6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中果皮比例分级（</a:t>
                </a:r>
                <a:r>
                  <a:rPr lang="en-US" altLang="zh-CN"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%</a:t>
                </a: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）</a:t>
                </a:r>
                <a:endParaRPr sz="6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>
            <c:manualLayout>
              <c:xMode val="edge"/>
              <c:yMode val="edge"/>
              <c:x val="0.376200155133432"/>
              <c:y val="0.913954358398803"/>
            </c:manualLayout>
          </c:layout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30303321"/>
        <c:crosses val="autoZero"/>
        <c:auto val="1"/>
        <c:lblAlgn val="ctr"/>
        <c:lblOffset val="100"/>
        <c:noMultiLvlLbl val="0"/>
      </c:catAx>
      <c:valAx>
        <c:axId val="83030332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样品数量</a:t>
                </a:r>
                <a:r>
                  <a:rPr lang="en-US" altLang="zh-CN"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%</a:t>
                </a:r>
                <a:endParaRPr lang="en-US" altLang="zh-CN" sz="5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7367569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 sz="500">
          <a:solidFill>
            <a:schemeClr val="tx1"/>
          </a:solidFill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sz="800" b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果：中果皮含油量</a:t>
            </a:r>
            <a:endParaRPr sz="800" b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6448620942153"/>
          <c:y val="0.131331403762663"/>
          <c:w val="0.773980961679278"/>
          <c:h val="0.612879884225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[柱状图.xlsx]Sheet1!$G$1</c:f>
              <c:strCache>
                <c:ptCount val="1"/>
                <c:pt idx="0">
                  <c:v/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[柱状图.xlsx]Sheet1!$D$93:$E$97</c:f>
              <c:multiLvlStrCache>
                <c:ptCount val="5"/>
                <c:lvl>
                  <c:pt idx="0">
                    <c:v>≤47</c:v>
                  </c:pt>
                  <c:pt idx="1">
                    <c:v>（47,50）</c:v>
                  </c:pt>
                  <c:pt idx="2">
                    <c:v>（50,53）</c:v>
                  </c:pt>
                  <c:pt idx="3">
                    <c:v>（53,56）</c:v>
                  </c:pt>
                  <c:pt idx="4">
                    <c:v>≥56</c:v>
                  </c:pt>
                </c:lvl>
                <c:lvl>
                  <c:pt idx="0">
                    <c:v>低</c:v>
                  </c:pt>
                  <c:pt idx="1">
                    <c:v>低到中</c:v>
                  </c:pt>
                  <c:pt idx="2">
                    <c:v>中</c:v>
                  </c:pt>
                  <c:pt idx="3">
                    <c:v>中到高</c:v>
                  </c:pt>
                  <c:pt idx="4">
                    <c:v>高</c:v>
                  </c:pt>
                </c:lvl>
              </c:multiLvlStrCache>
            </c:multiLvlStrRef>
          </c:cat>
          <c:val>
            <c:numRef>
              <c:f>[柱状图.xlsx]Sheet1!$G$93:$G$97</c:f>
              <c:numCache>
                <c:formatCode>0.00%</c:formatCode>
                <c:ptCount val="5"/>
                <c:pt idx="0">
                  <c:v>0.118</c:v>
                </c:pt>
                <c:pt idx="1">
                  <c:v>0.264</c:v>
                </c:pt>
                <c:pt idx="2">
                  <c:v>0.318</c:v>
                </c:pt>
                <c:pt idx="3">
                  <c:v>0.218</c:v>
                </c:pt>
                <c:pt idx="4">
                  <c:v>0.082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6"/>
        <c:overlap val="-28"/>
        <c:axId val="273675696"/>
        <c:axId val="830303321"/>
      </c:barChart>
      <c:catAx>
        <c:axId val="27367569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6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中果皮含油率分级（</a:t>
                </a:r>
                <a:r>
                  <a:rPr lang="en-US" altLang="zh-CN"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%</a:t>
                </a: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）</a:t>
                </a:r>
                <a:endParaRPr sz="6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>
            <c:manualLayout>
              <c:xMode val="edge"/>
              <c:yMode val="edge"/>
              <c:x val="0.424885646856898"/>
              <c:y val="0.895643921419759"/>
            </c:manualLayout>
          </c:layout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30303321"/>
        <c:crosses val="autoZero"/>
        <c:auto val="1"/>
        <c:lblAlgn val="ctr"/>
        <c:lblOffset val="100"/>
        <c:noMultiLvlLbl val="0"/>
      </c:catAx>
      <c:valAx>
        <c:axId val="83030332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样品数量</a:t>
                </a:r>
                <a:r>
                  <a:rPr lang="en-US" altLang="zh-CN"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%</a:t>
                </a:r>
                <a:endParaRPr lang="en-US" altLang="zh-CN" sz="5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7367569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 sz="500">
          <a:solidFill>
            <a:schemeClr val="tx1"/>
          </a:solidFill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sz="800" b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果：不饱和脂肪酸含量</a:t>
            </a:r>
            <a:endParaRPr sz="800" b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endParaRPr>
          </a:p>
        </c:rich>
      </c:tx>
      <c:layout>
        <c:manualLayout>
          <c:xMode val="edge"/>
          <c:yMode val="edge"/>
          <c:x val="0.291626095423564"/>
          <c:y val="0.0166728417932568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39727361246349"/>
          <c:y val="0.13115968877362"/>
          <c:w val="0.780428432327167"/>
          <c:h val="0.6128195628010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[工作簿1.xlsx]Sheet1!$F$1</c:f>
              <c:strCache>
                <c:ptCount val="1"/>
                <c:pt idx="0">
                  <c:v>株数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[工作簿1.xlsx]Sheet1!$D$96:$E$98</c:f>
              <c:multiLvlStrCache>
                <c:ptCount val="3"/>
                <c:lvl>
                  <c:pt idx="0">
                    <c:v>≤50</c:v>
                  </c:pt>
                  <c:pt idx="1">
                    <c:v>（51,54）</c:v>
                  </c:pt>
                  <c:pt idx="2">
                    <c:v>≤70</c:v>
                  </c:pt>
                </c:lvl>
                <c:lvl>
                  <c:pt idx="0">
                    <c:v>低</c:v>
                  </c:pt>
                  <c:pt idx="1">
                    <c:v>中</c:v>
                  </c:pt>
                  <c:pt idx="2">
                    <c:v>高</c:v>
                  </c:pt>
                </c:lvl>
              </c:multiLvlStrCache>
            </c:multiLvlStrRef>
          </c:cat>
          <c:val>
            <c:numRef>
              <c:f>[工作簿1.xlsx]Sheet1!$F$96:$F$98</c:f>
              <c:numCache>
                <c:formatCode>0.00%</c:formatCode>
                <c:ptCount val="3"/>
                <c:pt idx="0">
                  <c:v>0.255</c:v>
                </c:pt>
                <c:pt idx="1">
                  <c:v>0.627</c:v>
                </c:pt>
                <c:pt idx="2">
                  <c:v>0.118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6"/>
        <c:overlap val="-28"/>
        <c:axId val="273675696"/>
        <c:axId val="830303321"/>
      </c:barChart>
      <c:catAx>
        <c:axId val="27367569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6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脂肪酸含量分级（</a:t>
                </a:r>
                <a:r>
                  <a:rPr lang="en-US" altLang="zh-CN"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%</a:t>
                </a: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）</a:t>
                </a:r>
                <a:endParaRPr sz="6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>
            <c:manualLayout>
              <c:xMode val="edge"/>
              <c:yMode val="edge"/>
              <c:x val="0.424885646856898"/>
              <c:y val="0.895643921419759"/>
            </c:manualLayout>
          </c:layout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30303321"/>
        <c:crosses val="autoZero"/>
        <c:auto val="1"/>
        <c:lblAlgn val="ctr"/>
        <c:lblOffset val="100"/>
        <c:noMultiLvlLbl val="0"/>
      </c:catAx>
      <c:valAx>
        <c:axId val="83030332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样品数量</a:t>
                </a:r>
                <a:r>
                  <a:rPr lang="en-US" altLang="zh-CN"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%</a:t>
                </a:r>
                <a:endParaRPr lang="en-US" altLang="zh-CN" sz="5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7367569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 sz="500">
          <a:solidFill>
            <a:schemeClr val="tx1"/>
          </a:solidFill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sz="800" b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种子：重量</a:t>
            </a:r>
            <a:endParaRPr sz="800" b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endParaRPr>
          </a:p>
        </c:rich>
      </c:tx>
      <c:layout>
        <c:manualLayout>
          <c:xMode val="edge"/>
          <c:yMode val="edge"/>
          <c:x val="0.38421573478476"/>
          <c:y val="0.0127442650807137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35329045027214"/>
          <c:y val="0.131265930331351"/>
          <c:w val="0.78673923800099"/>
          <c:h val="0.6129991503823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[工作簿1.xlsx]Sheet1!$F$1</c:f>
              <c:strCache>
                <c:ptCount val="1"/>
                <c:pt idx="0">
                  <c:v>株数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[工作簿1.xlsx]Sheet1!$D$117:$E$119</c:f>
              <c:multiLvlStrCache>
                <c:ptCount val="3"/>
                <c:lvl>
                  <c:pt idx="0">
                    <c:v>≤2.61</c:v>
                  </c:pt>
                  <c:pt idx="1">
                    <c:v>（2.61，4.63）</c:v>
                  </c:pt>
                  <c:pt idx="2">
                    <c:v>≥4.63</c:v>
                  </c:pt>
                </c:lvl>
                <c:lvl>
                  <c:pt idx="0">
                    <c:v>轻</c:v>
                  </c:pt>
                  <c:pt idx="1">
                    <c:v>中</c:v>
                  </c:pt>
                  <c:pt idx="2">
                    <c:v>重</c:v>
                  </c:pt>
                </c:lvl>
              </c:multiLvlStrCache>
            </c:multiLvlStrRef>
          </c:cat>
          <c:val>
            <c:numRef>
              <c:f>[工作簿1.xlsx]Sheet1!$F$117:$F$119</c:f>
              <c:numCache>
                <c:formatCode>0.00%</c:formatCode>
                <c:ptCount val="3"/>
                <c:pt idx="0">
                  <c:v>0.518</c:v>
                </c:pt>
                <c:pt idx="1">
                  <c:v>0.373</c:v>
                </c:pt>
                <c:pt idx="2">
                  <c:v>0.109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6"/>
        <c:overlap val="-28"/>
        <c:axId val="273675696"/>
        <c:axId val="830303321"/>
      </c:barChart>
      <c:catAx>
        <c:axId val="27367569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6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种子重量分级（</a:t>
                </a:r>
                <a:r>
                  <a:rPr lang="en-US" altLang="zh-CN"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g</a:t>
                </a: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）</a:t>
                </a:r>
                <a:endParaRPr sz="6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>
            <c:manualLayout>
              <c:xMode val="edge"/>
              <c:yMode val="edge"/>
              <c:x val="0.424885646856898"/>
              <c:y val="0.895643921419759"/>
            </c:manualLayout>
          </c:layout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30303321"/>
        <c:crosses val="autoZero"/>
        <c:auto val="1"/>
        <c:lblAlgn val="ctr"/>
        <c:lblOffset val="100"/>
        <c:noMultiLvlLbl val="0"/>
      </c:catAx>
      <c:valAx>
        <c:axId val="83030332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样品数量</a:t>
                </a:r>
                <a:r>
                  <a:rPr lang="en-US" altLang="zh-CN"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%</a:t>
                </a:r>
                <a:endParaRPr lang="en-US" altLang="zh-CN" sz="5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7367569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 sz="500">
          <a:solidFill>
            <a:schemeClr val="tx1"/>
          </a:solidFill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sz="800" b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种子：含油率</a:t>
            </a:r>
            <a:endParaRPr sz="800" b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endParaRPr>
          </a:p>
        </c:rich>
      </c:tx>
      <c:layout>
        <c:manualLayout>
          <c:xMode val="edge"/>
          <c:yMode val="edge"/>
          <c:x val="0.376683203401843"/>
          <c:y val="0.0155929421419778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950508474576271"/>
          <c:y val="0.131259326908199"/>
          <c:w val="0.815593220338983"/>
          <c:h val="0.6129701686121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[柱状图.xlsx]Sheet1!$F$1</c:f>
              <c:strCache>
                <c:ptCount val="1"/>
                <c:pt idx="0">
                  <c:v>株数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[柱状图.xlsx]Sheet1!$D$126:$E$130</c:f>
              <c:multiLvlStrCache>
                <c:ptCount val="5"/>
                <c:lvl>
                  <c:pt idx="0">
                    <c:v>≤37</c:v>
                  </c:pt>
                  <c:pt idx="1">
                    <c:v>（37,40）</c:v>
                  </c:pt>
                  <c:pt idx="2">
                    <c:v>（40,43）</c:v>
                  </c:pt>
                  <c:pt idx="3">
                    <c:v>（43,46）</c:v>
                  </c:pt>
                  <c:pt idx="4">
                    <c:v>≥46</c:v>
                  </c:pt>
                </c:lvl>
                <c:lvl>
                  <c:pt idx="0">
                    <c:v>低</c:v>
                  </c:pt>
                  <c:pt idx="1">
                    <c:v>低到中</c:v>
                  </c:pt>
                  <c:pt idx="2">
                    <c:v>中</c:v>
                  </c:pt>
                  <c:pt idx="3">
                    <c:v>中到高</c:v>
                  </c:pt>
                  <c:pt idx="4">
                    <c:v>高</c:v>
                  </c:pt>
                </c:lvl>
              </c:multiLvlStrCache>
            </c:multiLvlStrRef>
          </c:cat>
          <c:val>
            <c:numRef>
              <c:f>[柱状图.xlsx]Sheet1!$F$126:$F$130</c:f>
              <c:numCache>
                <c:formatCode>0.00%</c:formatCode>
                <c:ptCount val="5"/>
                <c:pt idx="0">
                  <c:v>0.146</c:v>
                </c:pt>
                <c:pt idx="1">
                  <c:v>0.218</c:v>
                </c:pt>
                <c:pt idx="2">
                  <c:v>0.318</c:v>
                </c:pt>
                <c:pt idx="3">
                  <c:v>0.182</c:v>
                </c:pt>
                <c:pt idx="4">
                  <c:v>0.136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6"/>
        <c:overlap val="-28"/>
        <c:axId val="273675696"/>
        <c:axId val="830303321"/>
      </c:barChart>
      <c:catAx>
        <c:axId val="27367569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6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种子含油率分级（</a:t>
                </a:r>
                <a:r>
                  <a:rPr lang="en-US" altLang="zh-CN"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%</a:t>
                </a: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）</a:t>
                </a:r>
                <a:endParaRPr sz="6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>
            <c:manualLayout>
              <c:xMode val="edge"/>
              <c:yMode val="edge"/>
              <c:x val="0.424885646856898"/>
              <c:y val="0.895643921419759"/>
            </c:manualLayout>
          </c:layout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30303321"/>
        <c:crosses val="autoZero"/>
        <c:auto val="1"/>
        <c:lblAlgn val="ctr"/>
        <c:lblOffset val="100"/>
        <c:noMultiLvlLbl val="0"/>
      </c:catAx>
      <c:valAx>
        <c:axId val="83030332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样品数量</a:t>
                </a:r>
                <a:r>
                  <a:rPr lang="en-US" altLang="zh-CN"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%</a:t>
                </a:r>
                <a:endParaRPr lang="en-US" altLang="zh-CN" sz="5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7367569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 sz="500">
          <a:solidFill>
            <a:schemeClr val="tx1"/>
          </a:solidFill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sz="800" b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种子：纵径</a:t>
            </a:r>
            <a:endParaRPr sz="800" b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endParaRPr>
          </a:p>
        </c:rich>
      </c:tx>
      <c:layout>
        <c:manualLayout>
          <c:xMode val="edge"/>
          <c:yMode val="edge"/>
          <c:x val="0.390153389411183"/>
          <c:y val="0.0124792013311148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7699158832261"/>
          <c:y val="0.121048252911814"/>
          <c:w val="0.789708065314201"/>
          <c:h val="0.6131447587354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[工作簿1.xlsx]Sheet1!$F$1</c:f>
              <c:strCache>
                <c:ptCount val="1"/>
                <c:pt idx="0">
                  <c:v>株数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[工作簿1.xlsx]Sheet1!$D$123:$E$125</c:f>
              <c:multiLvlStrCache>
                <c:ptCount val="3"/>
                <c:lvl>
                  <c:pt idx="0">
                    <c:v>≤2.04</c:v>
                  </c:pt>
                  <c:pt idx="1">
                    <c:v>（2.04,2.30）</c:v>
                  </c:pt>
                  <c:pt idx="2">
                    <c:v>≥2.30</c:v>
                  </c:pt>
                </c:lvl>
                <c:lvl>
                  <c:pt idx="0">
                    <c:v>短</c:v>
                  </c:pt>
                  <c:pt idx="1">
                    <c:v>中</c:v>
                  </c:pt>
                  <c:pt idx="2">
                    <c:v>长</c:v>
                  </c:pt>
                </c:lvl>
              </c:multiLvlStrCache>
            </c:multiLvlStrRef>
          </c:cat>
          <c:val>
            <c:numRef>
              <c:f>[工作簿1.xlsx]Sheet1!$F$123:$F$125</c:f>
              <c:numCache>
                <c:formatCode>0.00%</c:formatCode>
                <c:ptCount val="3"/>
                <c:pt idx="0">
                  <c:v>0.864</c:v>
                </c:pt>
                <c:pt idx="1">
                  <c:v>0.064</c:v>
                </c:pt>
                <c:pt idx="2">
                  <c:v>0.072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6"/>
        <c:overlap val="-28"/>
        <c:axId val="273675696"/>
        <c:axId val="830303321"/>
      </c:barChart>
      <c:catAx>
        <c:axId val="27367569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6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种子纵径分级（</a:t>
                </a:r>
                <a:r>
                  <a:rPr lang="en-US" altLang="zh-CN"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mm</a:t>
                </a: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）</a:t>
                </a:r>
                <a:endParaRPr sz="6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>
            <c:manualLayout>
              <c:xMode val="edge"/>
              <c:yMode val="edge"/>
              <c:x val="0.424885646856898"/>
              <c:y val="0.895643921419759"/>
            </c:manualLayout>
          </c:layout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30303321"/>
        <c:crosses val="autoZero"/>
        <c:auto val="1"/>
        <c:lblAlgn val="ctr"/>
        <c:lblOffset val="100"/>
        <c:noMultiLvlLbl val="0"/>
      </c:catAx>
      <c:valAx>
        <c:axId val="83030332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样品数量</a:t>
                </a:r>
                <a:r>
                  <a:rPr lang="en-US" altLang="zh-CN"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%</a:t>
                </a:r>
                <a:endParaRPr lang="en-US" altLang="zh-CN" sz="5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7367569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 sz="500">
          <a:solidFill>
            <a:schemeClr val="tx1"/>
          </a:solidFill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sz="800" b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种子：横径</a:t>
            </a:r>
            <a:endParaRPr sz="800" b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endParaRPr>
          </a:p>
        </c:rich>
      </c:tx>
      <c:layout>
        <c:manualLayout>
          <c:xMode val="edge"/>
          <c:yMode val="edge"/>
          <c:x val="0.390153389411183"/>
          <c:y val="0.012674271229404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6056407718951"/>
          <c:y val="0.131389945078158"/>
          <c:w val="0.761504205838694"/>
          <c:h val="0.6130122517955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[工作簿1.xlsx]Sheet1!$F$1</c:f>
              <c:strCache>
                <c:ptCount val="1"/>
                <c:pt idx="0">
                  <c:v>株数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[工作簿1.xlsx]Sheet1!$D$126:$E$128</c:f>
              <c:multiLvlStrCache>
                <c:ptCount val="3"/>
                <c:lvl>
                  <c:pt idx="0">
                    <c:v>≤38</c:v>
                  </c:pt>
                  <c:pt idx="1">
                    <c:v>（38,45）</c:v>
                  </c:pt>
                  <c:pt idx="2">
                    <c:v>≥45</c:v>
                  </c:pt>
                </c:lvl>
                <c:lvl>
                  <c:pt idx="0">
                    <c:v>低</c:v>
                  </c:pt>
                  <c:pt idx="1">
                    <c:v>中</c:v>
                  </c:pt>
                  <c:pt idx="2">
                    <c:v>高</c:v>
                  </c:pt>
                </c:lvl>
              </c:multiLvlStrCache>
            </c:multiLvlStrRef>
          </c:cat>
          <c:val>
            <c:numRef>
              <c:f>[工作簿1.xlsx]Sheet1!$F$126:$F$128</c:f>
              <c:numCache>
                <c:formatCode>0.00%</c:formatCode>
                <c:ptCount val="3"/>
                <c:pt idx="0">
                  <c:v>0.164</c:v>
                </c:pt>
                <c:pt idx="1" c:formatCode="0%">
                  <c:v>0.5</c:v>
                </c:pt>
                <c:pt idx="2">
                  <c:v>0.336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6"/>
        <c:overlap val="-28"/>
        <c:axId val="273675696"/>
        <c:axId val="830303321"/>
      </c:barChart>
      <c:catAx>
        <c:axId val="27367569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6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种子横径分级（</a:t>
                </a:r>
                <a:r>
                  <a:rPr lang="en-US" altLang="zh-CN"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mm</a:t>
                </a: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）</a:t>
                </a:r>
                <a:endParaRPr sz="6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>
            <c:manualLayout>
              <c:xMode val="edge"/>
              <c:yMode val="edge"/>
              <c:x val="0.409299303462539"/>
              <c:y val="0.902830587241234"/>
            </c:manualLayout>
          </c:layout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30303321"/>
        <c:crosses val="autoZero"/>
        <c:auto val="1"/>
        <c:lblAlgn val="ctr"/>
        <c:lblOffset val="100"/>
        <c:noMultiLvlLbl val="0"/>
      </c:catAx>
      <c:valAx>
        <c:axId val="83030332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样品数量</a:t>
                </a:r>
                <a:r>
                  <a:rPr lang="en-US" altLang="zh-CN"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%</a:t>
                </a:r>
                <a:endParaRPr lang="en-US" altLang="zh-CN" sz="5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>
            <c:manualLayout>
              <c:xMode val="edge"/>
              <c:yMode val="edge"/>
              <c:x val="0.0189830508474576"/>
              <c:y val="0.35641581635371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7367569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 sz="500">
          <a:solidFill>
            <a:schemeClr val="tx1"/>
          </a:solidFill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sz="800" b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植株：树干围径</a:t>
            </a:r>
            <a:endParaRPr sz="800" b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89028734267395"/>
          <c:y val="0.198350515463918"/>
          <c:w val="0.75872714319639"/>
          <c:h val="0.526597938144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[工作簿1]Sheet1!$F$1</c:f>
              <c:strCache>
                <c:ptCount val="1"/>
                <c:pt idx="0">
                  <c:v>株数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6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[工作簿1]Sheet1!$D$10:$E$13</c:f>
              <c:multiLvlStrCache>
                <c:ptCount val="4"/>
                <c:lvl>
                  <c:pt idx="0">
                    <c:v>≤225</c:v>
                  </c:pt>
                  <c:pt idx="1" c:formatCode="@">
                    <c:v>（225，230）</c:v>
                  </c:pt>
                  <c:pt idx="2" c:formatCode="@">
                    <c:v>（230，235）</c:v>
                  </c:pt>
                  <c:pt idx="3" c:formatCode="@">
                    <c:v>（235，240）</c:v>
                  </c:pt>
                </c:lvl>
                <c:lvl>
                  <c:pt idx="0">
                    <c:v>小</c:v>
                  </c:pt>
                  <c:pt idx="1">
                    <c:v>小到中</c:v>
                  </c:pt>
                  <c:pt idx="2">
                    <c:v>中</c:v>
                  </c:pt>
                  <c:pt idx="3">
                    <c:v>中到大</c:v>
                  </c:pt>
                </c:lvl>
              </c:multiLvlStrCache>
            </c:multiLvlStrRef>
          </c:cat>
          <c:val>
            <c:numRef>
              <c:f>[工作簿1]Sheet1!$F$10:$F$13</c:f>
              <c:numCache>
                <c:formatCode>0.00%</c:formatCode>
                <c:ptCount val="4"/>
                <c:pt idx="0">
                  <c:v>0.2</c:v>
                </c:pt>
                <c:pt idx="1">
                  <c:v>0.2</c:v>
                </c:pt>
                <c:pt idx="2">
                  <c:v>0.273</c:v>
                </c:pt>
                <c:pt idx="3">
                  <c:v>0.209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6"/>
        <c:overlap val="-28"/>
        <c:axId val="273675696"/>
        <c:axId val="830303321"/>
      </c:barChart>
      <c:catAx>
        <c:axId val="27367569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6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树体围径分级（cm）</a:t>
                </a:r>
                <a:endParaRPr sz="6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30303321"/>
        <c:crosses val="autoZero"/>
        <c:auto val="1"/>
        <c:lblAlgn val="ctr"/>
        <c:lblOffset val="100"/>
        <c:noMultiLvlLbl val="0"/>
      </c:catAx>
      <c:valAx>
        <c:axId val="83030332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样品数量</a:t>
                </a:r>
                <a:r>
                  <a:rPr lang="en-US" altLang="zh-CN"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%</a:t>
                </a:r>
                <a:endParaRPr lang="en-US" altLang="zh-CN" sz="5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73675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 sz="500">
          <a:solidFill>
            <a:schemeClr val="tx1"/>
          </a:solidFill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sz="800" b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果：果穗柄长度</a:t>
            </a:r>
            <a:endParaRPr sz="800" b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endParaRPr>
          </a:p>
        </c:rich>
      </c:tx>
      <c:layout>
        <c:manualLayout>
          <c:xMode val="edge"/>
          <c:yMode val="edge"/>
          <c:x val="0.358079096045198"/>
          <c:y val="0.0118577075098814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5084745762712"/>
          <c:y val="0.183794466403162"/>
          <c:w val="0.778983050847458"/>
          <c:h val="0.5561264822134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[工作簿1.xlsx]Sheet1!$F$1</c:f>
              <c:strCache>
                <c:ptCount val="1"/>
                <c:pt idx="0">
                  <c:v>株数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[工作簿1.xlsx]Sheet1!$D$63:$E$65</c:f>
              <c:multiLvlStrCache>
                <c:ptCount val="3"/>
                <c:lvl>
                  <c:pt idx="0">
                    <c:v>≤15</c:v>
                  </c:pt>
                  <c:pt idx="1">
                    <c:v>（15,30）</c:v>
                  </c:pt>
                  <c:pt idx="2">
                    <c:v>≥30</c:v>
                  </c:pt>
                </c:lvl>
                <c:lvl>
                  <c:pt idx="0">
                    <c:v>短</c:v>
                  </c:pt>
                  <c:pt idx="1">
                    <c:v>中</c:v>
                  </c:pt>
                  <c:pt idx="2">
                    <c:v>长</c:v>
                  </c:pt>
                </c:lvl>
              </c:multiLvlStrCache>
            </c:multiLvlStrRef>
          </c:cat>
          <c:val>
            <c:numRef>
              <c:f>[工作簿1.xlsx]Sheet1!$F$63:$F$65</c:f>
              <c:numCache>
                <c:formatCode>0.00%</c:formatCode>
                <c:ptCount val="3"/>
                <c:pt idx="0">
                  <c:v>0.945</c:v>
                </c:pt>
                <c:pt idx="1">
                  <c:v>0.045</c:v>
                </c:pt>
                <c:pt idx="2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6"/>
        <c:overlap val="-28"/>
        <c:axId val="273675696"/>
        <c:axId val="830303321"/>
      </c:barChart>
      <c:catAx>
        <c:axId val="27367569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6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柄长度分级（</a:t>
                </a:r>
                <a:r>
                  <a:rPr lang="en-US" altLang="zh-CN"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cm</a:t>
                </a: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）</a:t>
                </a:r>
                <a:endParaRPr sz="6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>
            <c:manualLayout>
              <c:xMode val="edge"/>
              <c:yMode val="edge"/>
              <c:x val="0.424885646856898"/>
              <c:y val="0.895643921419759"/>
            </c:manualLayout>
          </c:layout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30303321"/>
        <c:crosses val="autoZero"/>
        <c:auto val="1"/>
        <c:lblAlgn val="ctr"/>
        <c:lblOffset val="100"/>
        <c:noMultiLvlLbl val="0"/>
      </c:catAx>
      <c:valAx>
        <c:axId val="83030332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样品数量</a:t>
                </a:r>
                <a:r>
                  <a:rPr lang="en-US" altLang="zh-CN"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%</a:t>
                </a:r>
                <a:endParaRPr lang="en-US" altLang="zh-CN" sz="5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73675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 sz="500">
          <a:solidFill>
            <a:schemeClr val="tx1"/>
          </a:solidFill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sz="800" b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果：果穗刺长度</a:t>
            </a:r>
            <a:endParaRPr sz="800" b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endParaRPr>
          </a:p>
        </c:rich>
      </c:tx>
      <c:layout>
        <c:manualLayout>
          <c:xMode val="edge"/>
          <c:yMode val="edge"/>
          <c:x val="0.355141242937853"/>
          <c:y val="0.0117416829745597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29491525423729"/>
          <c:y val="0.172994129158513"/>
          <c:w val="0.783276836158192"/>
          <c:h val="0.5671232876712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[工作簿1.xlsx]Sheet1!$F$1</c:f>
              <c:strCache>
                <c:ptCount val="1"/>
                <c:pt idx="0">
                  <c:v>株数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[工作簿1.xlsx]Sheet1!$D$67:$E$69</c:f>
              <c:multiLvlStrCache>
                <c:ptCount val="3"/>
                <c:lvl>
                  <c:pt idx="0">
                    <c:v>≤30</c:v>
                  </c:pt>
                  <c:pt idx="1">
                    <c:v>（30,60）</c:v>
                  </c:pt>
                  <c:pt idx="2">
                    <c:v>≥60</c:v>
                  </c:pt>
                </c:lvl>
                <c:lvl>
                  <c:pt idx="0">
                    <c:v>短</c:v>
                  </c:pt>
                  <c:pt idx="1">
                    <c:v>中</c:v>
                  </c:pt>
                  <c:pt idx="2">
                    <c:v>长</c:v>
                  </c:pt>
                </c:lvl>
              </c:multiLvlStrCache>
            </c:multiLvlStrRef>
          </c:cat>
          <c:val>
            <c:numRef>
              <c:f>[工作簿1.xlsx]Sheet1!$F$67:$F$69</c:f>
              <c:numCache>
                <c:formatCode>0.00%</c:formatCode>
                <c:ptCount val="3"/>
                <c:pt idx="0">
                  <c:v>0.318</c:v>
                </c:pt>
                <c:pt idx="1">
                  <c:v>0.655</c:v>
                </c:pt>
                <c:pt idx="2">
                  <c:v>0.027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6"/>
        <c:overlap val="-28"/>
        <c:axId val="273675696"/>
        <c:axId val="830303321"/>
      </c:barChart>
      <c:catAx>
        <c:axId val="27367569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6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刺长度分级（</a:t>
                </a:r>
                <a:r>
                  <a:rPr lang="en-US" altLang="zh-CN"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cm</a:t>
                </a: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）</a:t>
                </a:r>
                <a:endParaRPr sz="6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>
            <c:manualLayout>
              <c:xMode val="edge"/>
              <c:yMode val="edge"/>
              <c:x val="0.424885646856898"/>
              <c:y val="0.895643921419759"/>
            </c:manualLayout>
          </c:layout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30303321"/>
        <c:crosses val="autoZero"/>
        <c:auto val="1"/>
        <c:lblAlgn val="ctr"/>
        <c:lblOffset val="100"/>
        <c:noMultiLvlLbl val="0"/>
      </c:catAx>
      <c:valAx>
        <c:axId val="83030332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样品数量</a:t>
                </a:r>
                <a:r>
                  <a:rPr lang="en-US" altLang="zh-CN"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%</a:t>
                </a:r>
                <a:endParaRPr lang="en-US" altLang="zh-CN" sz="5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73675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 sz="500">
          <a:solidFill>
            <a:schemeClr val="tx1"/>
          </a:solidFill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sz="800" b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果：果穗重量</a:t>
            </a:r>
            <a:endParaRPr sz="800" b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38079096045198"/>
          <c:y val="0.127091633466135"/>
          <c:w val="0.825762711864407"/>
          <c:h val="0.6131474103585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[柱状图.xlsx]Sheet1!$G$1</c:f>
              <c:strCache>
                <c:ptCount val="1"/>
                <c:pt idx="0">
                  <c:v/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[柱状图.xlsx]Sheet1!$D$70:$E$74</c:f>
              <c:multiLvlStrCache>
                <c:ptCount val="5"/>
                <c:lvl>
                  <c:pt idx="0">
                    <c:v>≤12</c:v>
                  </c:pt>
                  <c:pt idx="1">
                    <c:v>（12,15）</c:v>
                  </c:pt>
                  <c:pt idx="2">
                    <c:v>（15,18）</c:v>
                  </c:pt>
                  <c:pt idx="3">
                    <c:v>（18,21）</c:v>
                  </c:pt>
                  <c:pt idx="4">
                    <c:v>≥21</c:v>
                  </c:pt>
                </c:lvl>
                <c:lvl>
                  <c:pt idx="0">
                    <c:v>轻</c:v>
                  </c:pt>
                  <c:pt idx="1">
                    <c:v>轻到中</c:v>
                  </c:pt>
                  <c:pt idx="2">
                    <c:v>中</c:v>
                  </c:pt>
                  <c:pt idx="3">
                    <c:v>中到重</c:v>
                  </c:pt>
                  <c:pt idx="4">
                    <c:v>重</c:v>
                  </c:pt>
                </c:lvl>
              </c:multiLvlStrCache>
            </c:multiLvlStrRef>
          </c:cat>
          <c:val>
            <c:numRef>
              <c:f>[柱状图.xlsx]Sheet1!$G$70:$G$74</c:f>
              <c:numCache>
                <c:formatCode>0.00%</c:formatCode>
                <c:ptCount val="5"/>
                <c:pt idx="0">
                  <c:v>0.173</c:v>
                </c:pt>
                <c:pt idx="1">
                  <c:v>0.209</c:v>
                </c:pt>
                <c:pt idx="2">
                  <c:v>0.3</c:v>
                </c:pt>
                <c:pt idx="3">
                  <c:v>0.191</c:v>
                </c:pt>
                <c:pt idx="4">
                  <c:v>0.127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6"/>
        <c:overlap val="-28"/>
        <c:axId val="273675696"/>
        <c:axId val="830303321"/>
      </c:barChart>
      <c:catAx>
        <c:axId val="27367569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6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果穗重量分级（</a:t>
                </a:r>
                <a:r>
                  <a:rPr lang="en-US" altLang="zh-CN"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kg</a:t>
                </a: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）</a:t>
                </a:r>
                <a:endParaRPr sz="6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>
            <c:manualLayout>
              <c:xMode val="edge"/>
              <c:yMode val="edge"/>
              <c:x val="0.424885646856898"/>
              <c:y val="0.895643921419759"/>
            </c:manualLayout>
          </c:layout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30303321"/>
        <c:crosses val="autoZero"/>
        <c:auto val="1"/>
        <c:lblAlgn val="ctr"/>
        <c:lblOffset val="100"/>
        <c:noMultiLvlLbl val="0"/>
      </c:catAx>
      <c:valAx>
        <c:axId val="83030332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样品数量</a:t>
                </a:r>
                <a:r>
                  <a:rPr lang="en-US" altLang="zh-CN"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%</a:t>
                </a:r>
                <a:endParaRPr lang="en-US" altLang="zh-CN" sz="5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7367569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 sz="500">
          <a:solidFill>
            <a:schemeClr val="tx1"/>
          </a:solidFill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sz="800" b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果：果穗含油率</a:t>
            </a:r>
            <a:endParaRPr sz="800" b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endParaRPr>
          </a:p>
        </c:rich>
      </c:tx>
      <c:layout>
        <c:manualLayout>
          <c:xMode val="edge"/>
          <c:yMode val="edge"/>
          <c:x val="0.385423728813559"/>
          <c:y val="0.0257120253164557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2372881355932"/>
          <c:y val="0.126977848101266"/>
          <c:w val="0.810621468926554"/>
          <c:h val="0.6131329113924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[柱状图.xlsx]Sheet1!$G$1</c:f>
              <c:strCache>
                <c:ptCount val="1"/>
                <c:pt idx="0">
                  <c:v/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[柱状图.xlsx]Sheet1!$D$75:$E$79</c:f>
              <c:multiLvlStrCache>
                <c:ptCount val="5"/>
                <c:lvl>
                  <c:pt idx="0">
                    <c:v>≤21</c:v>
                  </c:pt>
                  <c:pt idx="1">
                    <c:v>（21,23）</c:v>
                  </c:pt>
                  <c:pt idx="2">
                    <c:v>（23,25）</c:v>
                  </c:pt>
                  <c:pt idx="3">
                    <c:v>（25,27）</c:v>
                  </c:pt>
                  <c:pt idx="4">
                    <c:v>≥27</c:v>
                  </c:pt>
                </c:lvl>
                <c:lvl>
                  <c:pt idx="0">
                    <c:v>低</c:v>
                  </c:pt>
                  <c:pt idx="1">
                    <c:v>低到中</c:v>
                  </c:pt>
                  <c:pt idx="2">
                    <c:v>中</c:v>
                  </c:pt>
                  <c:pt idx="3">
                    <c:v>中到高</c:v>
                  </c:pt>
                  <c:pt idx="4">
                    <c:v>高</c:v>
                  </c:pt>
                </c:lvl>
              </c:multiLvlStrCache>
            </c:multiLvlStrRef>
          </c:cat>
          <c:val>
            <c:numRef>
              <c:f>[柱状图.xlsx]Sheet1!$G$75:$G$79</c:f>
              <c:numCache>
                <c:formatCode>0.00%</c:formatCode>
                <c:ptCount val="5"/>
                <c:pt idx="0">
                  <c:v>0.1</c:v>
                </c:pt>
                <c:pt idx="1">
                  <c:v>0.227</c:v>
                </c:pt>
                <c:pt idx="2">
                  <c:v>0.3</c:v>
                </c:pt>
                <c:pt idx="3">
                  <c:v>0.245</c:v>
                </c:pt>
                <c:pt idx="4">
                  <c:v>0.128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6"/>
        <c:overlap val="-28"/>
        <c:axId val="273675696"/>
        <c:axId val="830303321"/>
      </c:barChart>
      <c:catAx>
        <c:axId val="27367569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6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含油率分级（</a:t>
                </a:r>
                <a:r>
                  <a:rPr lang="en-US" altLang="zh-CN"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%</a:t>
                </a: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）</a:t>
                </a:r>
                <a:endParaRPr sz="6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>
            <c:manualLayout>
              <c:xMode val="edge"/>
              <c:yMode val="edge"/>
              <c:x val="0.424885646856898"/>
              <c:y val="0.895643921419759"/>
            </c:manualLayout>
          </c:layout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30303321"/>
        <c:crosses val="autoZero"/>
        <c:auto val="1"/>
        <c:lblAlgn val="ctr"/>
        <c:lblOffset val="100"/>
        <c:noMultiLvlLbl val="0"/>
      </c:catAx>
      <c:valAx>
        <c:axId val="83030332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样品数量</a:t>
                </a:r>
                <a:r>
                  <a:rPr lang="en-US" altLang="zh-CN"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%</a:t>
                </a:r>
                <a:endParaRPr lang="en-US" altLang="zh-CN" sz="5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73675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 sz="500">
          <a:solidFill>
            <a:schemeClr val="tx1"/>
          </a:solidFill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sz="800" b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果：单果重量</a:t>
            </a:r>
            <a:endParaRPr sz="800" b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endParaRPr>
          </a:p>
        </c:rich>
      </c:tx>
      <c:layout>
        <c:manualLayout>
          <c:xMode val="edge"/>
          <c:yMode val="edge"/>
          <c:x val="0.362138364779874"/>
          <c:y val="0.0125906142693628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7169811320755"/>
          <c:y val="0.127050743990843"/>
          <c:w val="0.776603773584906"/>
          <c:h val="0.6131247615413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[工作簿1.xlsx]Sheet1!$F$1</c:f>
              <c:strCache>
                <c:ptCount val="1"/>
                <c:pt idx="0">
                  <c:v>株数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[工作簿1.xlsx]Sheet1!$D$81:$E$83</c:f>
              <c:multiLvlStrCache>
                <c:ptCount val="3"/>
                <c:lvl>
                  <c:pt idx="0">
                    <c:v>≤7.6</c:v>
                  </c:pt>
                  <c:pt idx="1">
                    <c:v>（7.6,8.7）</c:v>
                  </c:pt>
                  <c:pt idx="2">
                    <c:v>≥8.7</c:v>
                  </c:pt>
                </c:lvl>
                <c:lvl>
                  <c:pt idx="0">
                    <c:v>轻</c:v>
                  </c:pt>
                  <c:pt idx="1">
                    <c:v>中</c:v>
                  </c:pt>
                  <c:pt idx="2">
                    <c:v>重</c:v>
                  </c:pt>
                </c:lvl>
              </c:multiLvlStrCache>
            </c:multiLvlStrRef>
          </c:cat>
          <c:val>
            <c:numRef>
              <c:f>[工作簿1.xlsx]Sheet1!$F$81:$F$83</c:f>
              <c:numCache>
                <c:formatCode>0.00%</c:formatCode>
                <c:ptCount val="3"/>
                <c:pt idx="0">
                  <c:v>0.336</c:v>
                </c:pt>
                <c:pt idx="1" c:formatCode="0%">
                  <c:v>0.5</c:v>
                </c:pt>
                <c:pt idx="2">
                  <c:v>0.164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6"/>
        <c:overlap val="-28"/>
        <c:axId val="273675696"/>
        <c:axId val="830303321"/>
      </c:barChart>
      <c:catAx>
        <c:axId val="27367569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6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单果重量分级（</a:t>
                </a:r>
                <a:r>
                  <a:rPr lang="en-US" altLang="zh-CN"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kg</a:t>
                </a: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）</a:t>
                </a:r>
                <a:endParaRPr sz="6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>
            <c:manualLayout>
              <c:xMode val="edge"/>
              <c:yMode val="edge"/>
              <c:x val="0.377590049372621"/>
              <c:y val="0.910142204517813"/>
            </c:manualLayout>
          </c:layout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30303321"/>
        <c:crosses val="autoZero"/>
        <c:auto val="1"/>
        <c:lblAlgn val="ctr"/>
        <c:lblOffset val="100"/>
        <c:noMultiLvlLbl val="0"/>
      </c:catAx>
      <c:valAx>
        <c:axId val="83030332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样品数量</a:t>
                </a:r>
                <a:r>
                  <a:rPr lang="en-US" altLang="zh-CN"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%</a:t>
                </a:r>
                <a:endParaRPr lang="en-US" altLang="zh-CN" sz="5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7367569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 sz="500">
          <a:solidFill>
            <a:schemeClr val="tx1"/>
          </a:solidFill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sz="800" b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果：果实横径</a:t>
            </a:r>
            <a:endParaRPr sz="800" b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endParaRPr>
          </a:p>
        </c:rich>
      </c:tx>
      <c:layout>
        <c:manualLayout>
          <c:xMode val="edge"/>
          <c:yMode val="edge"/>
          <c:x val="0.366358325219085"/>
          <c:y val="0.0166790214974055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76241480038948"/>
          <c:y val="0.127131208302446"/>
          <c:w val="0.743914313534567"/>
          <c:h val="0.6130467012601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[工作簿1.xlsx]Sheet1!$F$1</c:f>
              <c:strCache>
                <c:ptCount val="1"/>
                <c:pt idx="0">
                  <c:v>株数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[工作簿1.xlsx]Sheet1!$D$84:$E$86</c:f>
              <c:multiLvlStrCache>
                <c:ptCount val="3"/>
                <c:lvl>
                  <c:pt idx="0">
                    <c:v>≤16</c:v>
                  </c:pt>
                  <c:pt idx="1">
                    <c:v>（16,27）</c:v>
                  </c:pt>
                  <c:pt idx="2">
                    <c:v>≥27</c:v>
                  </c:pt>
                </c:lvl>
                <c:lvl>
                  <c:pt idx="0">
                    <c:v>短</c:v>
                  </c:pt>
                  <c:pt idx="1">
                    <c:v>中</c:v>
                  </c:pt>
                  <c:pt idx="2">
                    <c:v>长</c:v>
                  </c:pt>
                </c:lvl>
              </c:multiLvlStrCache>
            </c:multiLvlStrRef>
          </c:cat>
          <c:val>
            <c:numRef>
              <c:f>[工作簿1.xlsx]Sheet1!$F$84:$F$86</c:f>
              <c:numCache>
                <c:formatCode>0.00%</c:formatCode>
                <c:ptCount val="3"/>
                <c:pt idx="0">
                  <c:v>0.39</c:v>
                </c:pt>
                <c:pt idx="1">
                  <c:v>0.309</c:v>
                </c:pt>
                <c:pt idx="2">
                  <c:v>0.301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6"/>
        <c:overlap val="-28"/>
        <c:axId val="273675696"/>
        <c:axId val="830303321"/>
      </c:barChart>
      <c:catAx>
        <c:axId val="27367569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6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果实横径分级（</a:t>
                </a:r>
                <a:r>
                  <a:rPr lang="en-US" altLang="zh-CN"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mm</a:t>
                </a: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）</a:t>
                </a:r>
                <a:endParaRPr sz="6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>
            <c:manualLayout>
              <c:xMode val="edge"/>
              <c:yMode val="edge"/>
              <c:x val="0.424885646856898"/>
              <c:y val="0.895643921419759"/>
            </c:manualLayout>
          </c:layout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30303321"/>
        <c:crosses val="autoZero"/>
        <c:auto val="1"/>
        <c:lblAlgn val="ctr"/>
        <c:lblOffset val="100"/>
        <c:noMultiLvlLbl val="0"/>
      </c:catAx>
      <c:valAx>
        <c:axId val="83030332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样品数量</a:t>
                </a:r>
                <a:r>
                  <a:rPr lang="en-US" altLang="zh-CN"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%</a:t>
                </a:r>
                <a:endParaRPr lang="en-US" altLang="zh-CN" sz="5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7367569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 sz="500">
          <a:solidFill>
            <a:schemeClr val="tx1"/>
          </a:solidFill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sz="800" b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果：果实纵径</a:t>
            </a:r>
            <a:endParaRPr sz="800" b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endParaRPr>
          </a:p>
        </c:rich>
      </c:tx>
      <c:layout>
        <c:manualLayout>
          <c:xMode val="edge"/>
          <c:yMode val="edge"/>
          <c:x val="0.368176100628931"/>
          <c:y val="0.011446012972148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75345911949686"/>
          <c:y val="0.127050743990843"/>
          <c:w val="0.748427672955975"/>
          <c:h val="0.6131247615413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[工作簿1.xlsx]Sheet1!$F$1</c:f>
              <c:strCache>
                <c:ptCount val="1"/>
                <c:pt idx="0">
                  <c:v>株数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[工作簿1.xlsx]Sheet1!$D$87:$E$89</c:f>
              <c:multiLvlStrCache>
                <c:ptCount val="3"/>
                <c:lvl>
                  <c:pt idx="0">
                    <c:v>≤30</c:v>
                  </c:pt>
                  <c:pt idx="1">
                    <c:v>（30，45）</c:v>
                  </c:pt>
                  <c:pt idx="2">
                    <c:v>≥45</c:v>
                  </c:pt>
                </c:lvl>
                <c:lvl>
                  <c:pt idx="0">
                    <c:v>短</c:v>
                  </c:pt>
                  <c:pt idx="1">
                    <c:v>中</c:v>
                  </c:pt>
                  <c:pt idx="2">
                    <c:v>长</c:v>
                  </c:pt>
                </c:lvl>
              </c:multiLvlStrCache>
            </c:multiLvlStrRef>
          </c:cat>
          <c:val>
            <c:numRef>
              <c:f>[工作簿1.xlsx]Sheet1!$F$87:$F$89</c:f>
              <c:numCache>
                <c:formatCode>0.00%</c:formatCode>
                <c:ptCount val="3"/>
                <c:pt idx="0">
                  <c:v>0.391</c:v>
                </c:pt>
                <c:pt idx="1">
                  <c:v>0.509</c:v>
                </c:pt>
                <c:pt idx="2">
                  <c:v>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6"/>
        <c:overlap val="-28"/>
        <c:axId val="273675696"/>
        <c:axId val="830303321"/>
      </c:barChart>
      <c:catAx>
        <c:axId val="27367569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6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果实纵径分级（</a:t>
                </a:r>
                <a:r>
                  <a:rPr lang="en-US" altLang="zh-CN"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mm</a:t>
                </a:r>
                <a:r>
                  <a:rPr sz="6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）</a:t>
                </a:r>
                <a:endParaRPr sz="6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>
            <c:manualLayout>
              <c:xMode val="edge"/>
              <c:yMode val="edge"/>
              <c:x val="0.36501143302042"/>
              <c:y val="0.905182265563216"/>
            </c:manualLayout>
          </c:layout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30303321"/>
        <c:crosses val="autoZero"/>
        <c:auto val="1"/>
        <c:lblAlgn val="ctr"/>
        <c:lblOffset val="100"/>
        <c:noMultiLvlLbl val="0"/>
      </c:catAx>
      <c:valAx>
        <c:axId val="83030332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5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样品数量</a:t>
                </a:r>
                <a:r>
                  <a:rPr lang="en-US" altLang="zh-CN" sz="5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%</a:t>
                </a:r>
                <a:endParaRPr lang="en-US" altLang="zh-CN" sz="50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7367569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 sz="500">
          <a:solidFill>
            <a:schemeClr val="tx1"/>
          </a:solidFill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34</Pages>
  <Words>2075</Words>
  <Characters>11829</Characters>
  <Lines>98</Lines>
  <Paragraphs>27</Paragraphs>
  <TotalTime>3</TotalTime>
  <ScaleCrop>false</ScaleCrop>
  <LinksUpToDate>false</LinksUpToDate>
  <CharactersWithSpaces>13877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2022-11-08T07:15:00Z</dcterms:created>
  <dc:creator>oil palm</dc:creator>
  <cp:lastModifiedBy>CRI</cp:lastModifiedBy>
  <cp:lastPrinted>2024-01-09T11:46:00Z</cp:lastPrinted>
  <dcterms:modified xsi:type="dcterms:W3CDTF">2024-03-05T07:56:43Z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B8E9173019224787A0D3496ED61663B7_13</vt:lpwstr>
  </property>
</Properties>
</file>